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B350F7" w14:textId="77777777" w:rsidR="003D774F" w:rsidRPr="00D16F1F" w:rsidRDefault="003D774F" w:rsidP="003D774F">
      <w:pPr>
        <w:spacing w:after="0" w:line="240" w:lineRule="auto"/>
        <w:jc w:val="center"/>
        <w:rPr>
          <w:rFonts w:cstheme="minorHAnsi"/>
          <w:b/>
          <w:sz w:val="24"/>
          <w:szCs w:val="24"/>
        </w:rPr>
      </w:pPr>
      <w:r w:rsidRPr="00D16F1F">
        <w:rPr>
          <w:rFonts w:cstheme="minorHAnsi"/>
          <w:b/>
          <w:sz w:val="24"/>
          <w:szCs w:val="24"/>
        </w:rPr>
        <w:t>Wniosek</w:t>
      </w:r>
    </w:p>
    <w:p w14:paraId="2C3608B2" w14:textId="77777777" w:rsidR="003D774F" w:rsidRPr="00D16F1F" w:rsidRDefault="003D774F" w:rsidP="003D774F">
      <w:pPr>
        <w:spacing w:after="0" w:line="240" w:lineRule="auto"/>
        <w:jc w:val="center"/>
        <w:rPr>
          <w:rFonts w:cstheme="minorHAnsi"/>
          <w:b/>
          <w:sz w:val="24"/>
          <w:szCs w:val="24"/>
        </w:rPr>
      </w:pPr>
      <w:r w:rsidRPr="00D16F1F">
        <w:rPr>
          <w:rFonts w:cstheme="minorHAnsi"/>
          <w:b/>
          <w:sz w:val="24"/>
          <w:szCs w:val="24"/>
        </w:rPr>
        <w:t>w sprawie absolutorium wraz z opinią Komisji Rewizyjnej Rady Gminy Miedźna o wykonaniu budżetu Gminy Miedźna za 2024 rok</w:t>
      </w:r>
    </w:p>
    <w:p w14:paraId="2FF85CE5" w14:textId="77777777" w:rsidR="003D774F" w:rsidRPr="00D16F1F" w:rsidRDefault="003D774F" w:rsidP="003D774F">
      <w:pPr>
        <w:spacing w:after="0" w:line="240" w:lineRule="auto"/>
        <w:jc w:val="both"/>
        <w:rPr>
          <w:rFonts w:cstheme="minorHAnsi"/>
          <w:sz w:val="24"/>
          <w:szCs w:val="24"/>
        </w:rPr>
      </w:pPr>
    </w:p>
    <w:p w14:paraId="66109AED" w14:textId="77777777" w:rsidR="003D774F" w:rsidRPr="00D16F1F" w:rsidRDefault="003D774F" w:rsidP="003D774F">
      <w:pPr>
        <w:spacing w:after="0" w:line="240" w:lineRule="auto"/>
        <w:jc w:val="both"/>
        <w:rPr>
          <w:rFonts w:cstheme="minorHAnsi"/>
          <w:sz w:val="24"/>
          <w:szCs w:val="24"/>
        </w:rPr>
      </w:pPr>
      <w:r w:rsidRPr="00D16F1F">
        <w:rPr>
          <w:rFonts w:cstheme="minorHAnsi"/>
          <w:sz w:val="24"/>
          <w:szCs w:val="24"/>
        </w:rPr>
        <w:t>Komisja Rewizyjna Rady Gminy Miedźna na posiedzeniach w dniach 8 kwietnia i 7 maja 2025 r., rozpatrzyła:</w:t>
      </w:r>
    </w:p>
    <w:p w14:paraId="261458DB" w14:textId="77777777" w:rsidR="003D774F" w:rsidRPr="00D16F1F" w:rsidRDefault="003D774F" w:rsidP="003D774F">
      <w:pPr>
        <w:spacing w:after="0" w:line="240" w:lineRule="auto"/>
        <w:ind w:left="284"/>
        <w:jc w:val="both"/>
        <w:rPr>
          <w:rFonts w:cstheme="minorHAnsi"/>
          <w:sz w:val="24"/>
          <w:szCs w:val="24"/>
        </w:rPr>
      </w:pPr>
      <w:r w:rsidRPr="00D16F1F">
        <w:rPr>
          <w:rFonts w:cstheme="minorHAnsi"/>
          <w:sz w:val="24"/>
          <w:szCs w:val="24"/>
        </w:rPr>
        <w:t>1. sprawozdanie z wykonania budżetu Gminy Miedźna za rok 2024 wraz z opinią do tego sprawozdania - Uchwała Nr 4200.I.63.2025 I Składu Orzekającego Regionalnej Izby Obrachunkowej w Katowicach z dnia 7 kwietnia 2025 r.</w:t>
      </w:r>
    </w:p>
    <w:p w14:paraId="75A18C77" w14:textId="77777777" w:rsidR="003D774F" w:rsidRPr="00D16F1F" w:rsidRDefault="003D774F" w:rsidP="003D774F">
      <w:pPr>
        <w:spacing w:after="0" w:line="240" w:lineRule="auto"/>
        <w:ind w:firstLine="284"/>
        <w:jc w:val="both"/>
        <w:rPr>
          <w:rFonts w:cstheme="minorHAnsi"/>
          <w:sz w:val="24"/>
          <w:szCs w:val="24"/>
        </w:rPr>
      </w:pPr>
      <w:r w:rsidRPr="00D16F1F">
        <w:rPr>
          <w:rFonts w:cstheme="minorHAnsi"/>
          <w:sz w:val="24"/>
          <w:szCs w:val="24"/>
        </w:rPr>
        <w:t>2. sprawozdanie finansowe obejmujące:</w:t>
      </w:r>
    </w:p>
    <w:p w14:paraId="5196B94D" w14:textId="77777777" w:rsidR="003D774F" w:rsidRPr="00D16F1F" w:rsidRDefault="003D774F" w:rsidP="003D774F">
      <w:pPr>
        <w:spacing w:after="0" w:line="240" w:lineRule="auto"/>
        <w:ind w:firstLine="284"/>
        <w:jc w:val="both"/>
        <w:rPr>
          <w:rFonts w:cstheme="minorHAnsi"/>
          <w:sz w:val="24"/>
          <w:szCs w:val="24"/>
        </w:rPr>
      </w:pPr>
      <w:r w:rsidRPr="00D16F1F">
        <w:rPr>
          <w:rFonts w:cstheme="minorHAnsi"/>
          <w:sz w:val="24"/>
          <w:szCs w:val="24"/>
        </w:rPr>
        <w:t>- bilans z wykonania budżetu,</w:t>
      </w:r>
    </w:p>
    <w:p w14:paraId="1E4F936B" w14:textId="77777777" w:rsidR="003D774F" w:rsidRPr="00D16F1F" w:rsidRDefault="003D774F" w:rsidP="003D774F">
      <w:pPr>
        <w:spacing w:after="0" w:line="240" w:lineRule="auto"/>
        <w:ind w:firstLine="284"/>
        <w:jc w:val="both"/>
        <w:rPr>
          <w:rFonts w:cstheme="minorHAnsi"/>
          <w:sz w:val="24"/>
          <w:szCs w:val="24"/>
        </w:rPr>
      </w:pPr>
      <w:r w:rsidRPr="00D16F1F">
        <w:rPr>
          <w:rFonts w:cstheme="minorHAnsi"/>
          <w:sz w:val="24"/>
          <w:szCs w:val="24"/>
        </w:rPr>
        <w:t>- łączny bilans jednostek budżetowych gminy,</w:t>
      </w:r>
    </w:p>
    <w:p w14:paraId="6DD73E8B" w14:textId="77777777" w:rsidR="003D774F" w:rsidRPr="00D16F1F" w:rsidRDefault="003D774F" w:rsidP="003D774F">
      <w:pPr>
        <w:spacing w:after="0" w:line="240" w:lineRule="auto"/>
        <w:ind w:firstLine="284"/>
        <w:jc w:val="both"/>
        <w:rPr>
          <w:rFonts w:cstheme="minorHAnsi"/>
          <w:sz w:val="24"/>
          <w:szCs w:val="24"/>
        </w:rPr>
      </w:pPr>
      <w:r w:rsidRPr="00D16F1F">
        <w:rPr>
          <w:rFonts w:cstheme="minorHAnsi"/>
          <w:sz w:val="24"/>
          <w:szCs w:val="24"/>
        </w:rPr>
        <w:t>- rachunek zysków i strat,</w:t>
      </w:r>
    </w:p>
    <w:p w14:paraId="7587500E" w14:textId="77777777" w:rsidR="003D774F" w:rsidRPr="00D16F1F" w:rsidRDefault="003D774F" w:rsidP="003D774F">
      <w:pPr>
        <w:spacing w:after="0" w:line="240" w:lineRule="auto"/>
        <w:ind w:firstLine="284"/>
        <w:jc w:val="both"/>
        <w:rPr>
          <w:rFonts w:cstheme="minorHAnsi"/>
          <w:sz w:val="24"/>
          <w:szCs w:val="24"/>
        </w:rPr>
      </w:pPr>
      <w:r w:rsidRPr="00D16F1F">
        <w:rPr>
          <w:rFonts w:cstheme="minorHAnsi"/>
          <w:sz w:val="24"/>
          <w:szCs w:val="24"/>
        </w:rPr>
        <w:t>- zestawienie zmian w funduszu,</w:t>
      </w:r>
    </w:p>
    <w:p w14:paraId="63172923" w14:textId="77777777" w:rsidR="003D774F" w:rsidRPr="00D16F1F" w:rsidRDefault="003D774F" w:rsidP="003D774F">
      <w:pPr>
        <w:spacing w:after="0" w:line="240" w:lineRule="auto"/>
        <w:ind w:firstLine="284"/>
        <w:jc w:val="both"/>
        <w:rPr>
          <w:rFonts w:cstheme="minorHAnsi"/>
          <w:sz w:val="24"/>
          <w:szCs w:val="24"/>
        </w:rPr>
      </w:pPr>
      <w:r w:rsidRPr="00D16F1F">
        <w:rPr>
          <w:rFonts w:cstheme="minorHAnsi"/>
          <w:sz w:val="24"/>
          <w:szCs w:val="24"/>
        </w:rPr>
        <w:t>- informację dodatkową.</w:t>
      </w:r>
    </w:p>
    <w:p w14:paraId="0A920DE4" w14:textId="77777777" w:rsidR="003D774F" w:rsidRPr="00D16F1F" w:rsidRDefault="003D774F" w:rsidP="003D774F">
      <w:pPr>
        <w:spacing w:after="0" w:line="240" w:lineRule="auto"/>
        <w:ind w:left="284"/>
        <w:jc w:val="both"/>
        <w:rPr>
          <w:rFonts w:cstheme="minorHAnsi"/>
          <w:sz w:val="24"/>
          <w:szCs w:val="24"/>
        </w:rPr>
      </w:pPr>
      <w:r w:rsidRPr="00D16F1F">
        <w:rPr>
          <w:rFonts w:cstheme="minorHAnsi"/>
          <w:sz w:val="24"/>
          <w:szCs w:val="24"/>
        </w:rPr>
        <w:t>3. informację o stanie mienia komunalnego Gminy Miedźna.</w:t>
      </w:r>
    </w:p>
    <w:p w14:paraId="202BA611" w14:textId="77777777" w:rsidR="003D774F" w:rsidRPr="00D16F1F" w:rsidRDefault="003D774F" w:rsidP="003D774F">
      <w:pPr>
        <w:spacing w:after="0" w:line="240" w:lineRule="auto"/>
        <w:ind w:left="284"/>
        <w:jc w:val="both"/>
        <w:rPr>
          <w:rFonts w:cstheme="minorHAnsi"/>
          <w:sz w:val="24"/>
          <w:szCs w:val="24"/>
        </w:rPr>
      </w:pPr>
    </w:p>
    <w:p w14:paraId="458EA388" w14:textId="77777777" w:rsidR="003D774F" w:rsidRPr="00D16F1F" w:rsidRDefault="003D774F" w:rsidP="003D774F">
      <w:pPr>
        <w:spacing w:after="0" w:line="240" w:lineRule="auto"/>
        <w:ind w:firstLine="284"/>
        <w:jc w:val="both"/>
        <w:rPr>
          <w:rFonts w:cstheme="minorHAnsi"/>
          <w:sz w:val="24"/>
          <w:szCs w:val="24"/>
        </w:rPr>
      </w:pPr>
      <w:r w:rsidRPr="00D16F1F">
        <w:rPr>
          <w:rFonts w:cstheme="minorHAnsi"/>
          <w:sz w:val="24"/>
          <w:szCs w:val="24"/>
        </w:rPr>
        <w:t>Komisja wysłuchała również ustnych wyjaśnień Wójta Gminy dotyczących wykonania budżetu za rok 2024.</w:t>
      </w:r>
    </w:p>
    <w:p w14:paraId="0C246B95" w14:textId="77777777" w:rsidR="003D774F" w:rsidRPr="00D16F1F" w:rsidRDefault="003D774F" w:rsidP="003D774F">
      <w:pPr>
        <w:spacing w:after="0" w:line="240" w:lineRule="auto"/>
        <w:jc w:val="both"/>
        <w:rPr>
          <w:rFonts w:cstheme="minorHAnsi"/>
          <w:sz w:val="24"/>
          <w:szCs w:val="24"/>
        </w:rPr>
      </w:pPr>
    </w:p>
    <w:p w14:paraId="6C3FD811" w14:textId="77777777" w:rsidR="003D774F" w:rsidRPr="00D16F1F" w:rsidRDefault="003D774F" w:rsidP="003D774F">
      <w:pPr>
        <w:spacing w:after="0" w:line="240" w:lineRule="auto"/>
        <w:jc w:val="both"/>
        <w:rPr>
          <w:rFonts w:cstheme="minorHAnsi"/>
          <w:sz w:val="24"/>
          <w:szCs w:val="24"/>
        </w:rPr>
      </w:pPr>
      <w:r w:rsidRPr="00D16F1F">
        <w:rPr>
          <w:rFonts w:cstheme="minorHAnsi"/>
          <w:sz w:val="24"/>
          <w:szCs w:val="24"/>
        </w:rPr>
        <w:t>Komisja Rewizyjna stwierdziła, co następuje:</w:t>
      </w:r>
    </w:p>
    <w:p w14:paraId="6850F311" w14:textId="77777777" w:rsidR="003D774F" w:rsidRPr="00D16F1F" w:rsidRDefault="003D774F" w:rsidP="003D774F">
      <w:pPr>
        <w:pStyle w:val="Akapitzlist"/>
        <w:numPr>
          <w:ilvl w:val="0"/>
          <w:numId w:val="2"/>
        </w:numPr>
        <w:spacing w:after="0" w:line="240" w:lineRule="auto"/>
        <w:jc w:val="both"/>
        <w:rPr>
          <w:rFonts w:cstheme="minorHAnsi"/>
          <w:sz w:val="24"/>
          <w:szCs w:val="24"/>
        </w:rPr>
      </w:pPr>
      <w:r w:rsidRPr="00D16F1F">
        <w:rPr>
          <w:rFonts w:cstheme="minorHAnsi"/>
          <w:sz w:val="24"/>
          <w:szCs w:val="24"/>
        </w:rPr>
        <w:t>Regionalna Izba Obrachunkowa pozytywnie zaopiniowała sprawozdanie z wykonania budżetu za rok 2024.</w:t>
      </w:r>
    </w:p>
    <w:p w14:paraId="0489CCCA" w14:textId="77777777" w:rsidR="003D774F" w:rsidRPr="00D16F1F" w:rsidRDefault="003D774F" w:rsidP="003D774F">
      <w:pPr>
        <w:pStyle w:val="Akapitzlist"/>
        <w:numPr>
          <w:ilvl w:val="0"/>
          <w:numId w:val="2"/>
        </w:numPr>
        <w:spacing w:after="0" w:line="240" w:lineRule="auto"/>
        <w:jc w:val="both"/>
        <w:rPr>
          <w:rFonts w:cstheme="minorHAnsi"/>
          <w:sz w:val="24"/>
          <w:szCs w:val="24"/>
        </w:rPr>
      </w:pPr>
      <w:r w:rsidRPr="00D16F1F">
        <w:rPr>
          <w:rFonts w:cstheme="minorHAnsi"/>
          <w:sz w:val="24"/>
          <w:szCs w:val="24"/>
        </w:rPr>
        <w:t xml:space="preserve">Po szczegółowej analizie zgromadzonych dokumentów oraz udzielonych wyjaśnień ustalono:  </w:t>
      </w:r>
    </w:p>
    <w:p w14:paraId="35820D4B" w14:textId="77777777" w:rsidR="003D774F" w:rsidRPr="00D16F1F" w:rsidRDefault="003D774F" w:rsidP="003D774F">
      <w:pPr>
        <w:pStyle w:val="Akapitzlist"/>
        <w:spacing w:after="0" w:line="240" w:lineRule="auto"/>
        <w:jc w:val="both"/>
        <w:rPr>
          <w:rFonts w:cstheme="minorHAnsi"/>
          <w:sz w:val="24"/>
          <w:szCs w:val="24"/>
        </w:rPr>
      </w:pPr>
    </w:p>
    <w:p w14:paraId="5944BAA8" w14:textId="77777777" w:rsidR="003D774F" w:rsidRPr="00D16F1F" w:rsidRDefault="003D774F" w:rsidP="003D774F">
      <w:pPr>
        <w:pStyle w:val="Akapitzlist"/>
        <w:spacing w:after="0" w:line="240" w:lineRule="auto"/>
        <w:jc w:val="both"/>
        <w:rPr>
          <w:rFonts w:cstheme="minorHAnsi"/>
          <w:sz w:val="24"/>
          <w:szCs w:val="24"/>
          <w:u w:val="single"/>
        </w:rPr>
      </w:pPr>
      <w:r w:rsidRPr="00D16F1F">
        <w:rPr>
          <w:rFonts w:cstheme="minorHAnsi"/>
          <w:sz w:val="24"/>
          <w:szCs w:val="24"/>
          <w:u w:val="single"/>
        </w:rPr>
        <w:t>W zakresie sprawozdania z wykonania budżetu:</w:t>
      </w:r>
    </w:p>
    <w:p w14:paraId="3CB992A7" w14:textId="77777777" w:rsidR="003D774F" w:rsidRPr="00D16F1F" w:rsidRDefault="003D774F" w:rsidP="003D774F">
      <w:pPr>
        <w:spacing w:after="0" w:line="240" w:lineRule="auto"/>
        <w:ind w:left="360"/>
        <w:jc w:val="both"/>
        <w:rPr>
          <w:rFonts w:cstheme="minorHAnsi"/>
          <w:sz w:val="24"/>
          <w:szCs w:val="24"/>
        </w:rPr>
      </w:pPr>
      <w:r w:rsidRPr="00D16F1F">
        <w:rPr>
          <w:rFonts w:cstheme="minorHAnsi"/>
          <w:sz w:val="24"/>
          <w:szCs w:val="24"/>
        </w:rPr>
        <w:t xml:space="preserve">2.1. Uchwalony przez Radę Gminy </w:t>
      </w:r>
      <w:r w:rsidRPr="00D16F1F">
        <w:rPr>
          <w:rFonts w:cstheme="minorHAnsi"/>
          <w:b/>
          <w:sz w:val="24"/>
          <w:szCs w:val="24"/>
        </w:rPr>
        <w:t>plan dochodów</w:t>
      </w:r>
      <w:r w:rsidRPr="00D16F1F">
        <w:rPr>
          <w:rFonts w:cstheme="minorHAnsi"/>
          <w:sz w:val="24"/>
          <w:szCs w:val="24"/>
        </w:rPr>
        <w:t xml:space="preserve">, po uwzględnieniu zmian dokonanych w ciągu roku został zrealizowany w 98,7%. W stosunku do planu nie zrealizowano dochodów w kwocie 1 485 112,24 zł. </w:t>
      </w:r>
    </w:p>
    <w:p w14:paraId="363BDF6B" w14:textId="77777777" w:rsidR="003D774F" w:rsidRPr="00D16F1F" w:rsidRDefault="003D774F" w:rsidP="003D774F">
      <w:pPr>
        <w:spacing w:after="0" w:line="240" w:lineRule="auto"/>
        <w:ind w:left="360"/>
        <w:jc w:val="both"/>
        <w:rPr>
          <w:rFonts w:cstheme="minorHAnsi"/>
          <w:sz w:val="24"/>
          <w:szCs w:val="24"/>
        </w:rPr>
      </w:pPr>
    </w:p>
    <w:p w14:paraId="31F6E20A" w14:textId="77777777" w:rsidR="003D774F" w:rsidRPr="00D16F1F" w:rsidRDefault="003D774F" w:rsidP="003D774F">
      <w:pPr>
        <w:spacing w:after="0" w:line="240" w:lineRule="auto"/>
        <w:ind w:firstLine="360"/>
        <w:jc w:val="both"/>
        <w:rPr>
          <w:rFonts w:cstheme="minorHAnsi"/>
          <w:sz w:val="24"/>
          <w:szCs w:val="24"/>
        </w:rPr>
      </w:pPr>
      <w:r w:rsidRPr="00D16F1F">
        <w:rPr>
          <w:rFonts w:cstheme="minorHAnsi"/>
          <w:sz w:val="24"/>
          <w:szCs w:val="24"/>
        </w:rPr>
        <w:t xml:space="preserve">Analiza wykonanych </w:t>
      </w:r>
      <w:r w:rsidRPr="00D16F1F">
        <w:rPr>
          <w:rFonts w:cstheme="minorHAnsi"/>
          <w:b/>
          <w:sz w:val="24"/>
          <w:szCs w:val="24"/>
        </w:rPr>
        <w:t>dochodów bieżących</w:t>
      </w:r>
      <w:r w:rsidRPr="00D16F1F">
        <w:rPr>
          <w:rFonts w:cstheme="minorHAnsi"/>
          <w:sz w:val="24"/>
          <w:szCs w:val="24"/>
        </w:rPr>
        <w:t xml:space="preserve"> na poziomie 99% wskazuje, że ich realizacja przebiegała zasadniczo w sposób prawidłowy.</w:t>
      </w:r>
    </w:p>
    <w:p w14:paraId="674A6F20" w14:textId="77777777" w:rsidR="003D774F" w:rsidRPr="00D16F1F" w:rsidRDefault="003D774F" w:rsidP="003D774F">
      <w:pPr>
        <w:spacing w:after="0" w:line="240" w:lineRule="auto"/>
        <w:ind w:firstLine="360"/>
        <w:jc w:val="both"/>
        <w:rPr>
          <w:rFonts w:cstheme="minorHAnsi"/>
          <w:sz w:val="24"/>
          <w:szCs w:val="24"/>
        </w:rPr>
      </w:pPr>
      <w:r w:rsidRPr="00D16F1F">
        <w:rPr>
          <w:rFonts w:cstheme="minorHAnsi"/>
          <w:sz w:val="24"/>
          <w:szCs w:val="24"/>
        </w:rPr>
        <w:t xml:space="preserve">Odchylenia od planu na minus </w:t>
      </w:r>
      <w:r>
        <w:rPr>
          <w:rFonts w:cstheme="minorHAnsi"/>
          <w:sz w:val="24"/>
          <w:szCs w:val="24"/>
        </w:rPr>
        <w:t>powyżej 10</w:t>
      </w:r>
      <w:r w:rsidRPr="00D16F1F">
        <w:rPr>
          <w:rFonts w:cstheme="minorHAnsi"/>
          <w:sz w:val="24"/>
          <w:szCs w:val="24"/>
        </w:rPr>
        <w:t>% występują w ramach działów:</w:t>
      </w:r>
    </w:p>
    <w:p w14:paraId="2D960222" w14:textId="77777777" w:rsidR="003D774F" w:rsidRPr="00D16F1F" w:rsidRDefault="003D774F" w:rsidP="003D774F">
      <w:pPr>
        <w:pStyle w:val="Akapitzlist"/>
        <w:numPr>
          <w:ilvl w:val="0"/>
          <w:numId w:val="1"/>
        </w:numPr>
        <w:spacing w:after="0" w:line="240" w:lineRule="auto"/>
        <w:jc w:val="both"/>
        <w:rPr>
          <w:rFonts w:cstheme="minorHAnsi"/>
          <w:sz w:val="24"/>
          <w:szCs w:val="24"/>
        </w:rPr>
      </w:pPr>
      <w:r w:rsidRPr="00D16F1F">
        <w:rPr>
          <w:rFonts w:cstheme="minorHAnsi"/>
          <w:b/>
          <w:sz w:val="24"/>
          <w:szCs w:val="24"/>
        </w:rPr>
        <w:t>dział 600</w:t>
      </w:r>
      <w:r w:rsidRPr="00D16F1F">
        <w:rPr>
          <w:rFonts w:cstheme="minorHAnsi"/>
          <w:sz w:val="24"/>
          <w:szCs w:val="24"/>
        </w:rPr>
        <w:t xml:space="preserve"> – transport i łączność – 87,4% (niewykonanie: 4 394,58 zł), </w:t>
      </w:r>
    </w:p>
    <w:p w14:paraId="6EDC8E37" w14:textId="77777777" w:rsidR="003D774F" w:rsidRPr="00D16F1F" w:rsidRDefault="003D774F" w:rsidP="003D774F">
      <w:pPr>
        <w:pStyle w:val="Akapitzlist"/>
        <w:numPr>
          <w:ilvl w:val="0"/>
          <w:numId w:val="1"/>
        </w:numPr>
        <w:spacing w:after="0" w:line="240" w:lineRule="auto"/>
        <w:jc w:val="both"/>
        <w:rPr>
          <w:rFonts w:cstheme="minorHAnsi"/>
          <w:sz w:val="24"/>
          <w:szCs w:val="24"/>
        </w:rPr>
      </w:pPr>
      <w:r w:rsidRPr="00D16F1F">
        <w:rPr>
          <w:rFonts w:cstheme="minorHAnsi"/>
          <w:b/>
          <w:sz w:val="24"/>
          <w:szCs w:val="24"/>
        </w:rPr>
        <w:t>dział 853</w:t>
      </w:r>
      <w:r w:rsidRPr="00D16F1F">
        <w:rPr>
          <w:rFonts w:cstheme="minorHAnsi"/>
          <w:sz w:val="24"/>
          <w:szCs w:val="24"/>
        </w:rPr>
        <w:t xml:space="preserve"> – pozostałe zadania w zakresie polityki społecznej – 45,9% (niewykonanie: 72 000 zł),</w:t>
      </w:r>
    </w:p>
    <w:p w14:paraId="1E48D935" w14:textId="77777777" w:rsidR="003D774F" w:rsidRPr="00D16F1F" w:rsidRDefault="003D774F" w:rsidP="003D774F">
      <w:pPr>
        <w:spacing w:after="0" w:line="240" w:lineRule="auto"/>
        <w:ind w:firstLine="708"/>
        <w:jc w:val="both"/>
        <w:rPr>
          <w:rFonts w:cstheme="minorHAnsi"/>
          <w:sz w:val="24"/>
          <w:szCs w:val="24"/>
        </w:rPr>
      </w:pPr>
    </w:p>
    <w:p w14:paraId="6BC1783B" w14:textId="77777777" w:rsidR="003D774F" w:rsidRPr="00D16F1F" w:rsidRDefault="003D774F" w:rsidP="003D774F">
      <w:pPr>
        <w:spacing w:after="0" w:line="240" w:lineRule="auto"/>
        <w:ind w:left="284" w:firstLine="424"/>
        <w:jc w:val="both"/>
        <w:rPr>
          <w:rFonts w:cstheme="minorHAnsi"/>
          <w:strike/>
          <w:sz w:val="24"/>
          <w:szCs w:val="24"/>
        </w:rPr>
      </w:pPr>
      <w:r w:rsidRPr="00D16F1F">
        <w:rPr>
          <w:rFonts w:cstheme="minorHAnsi"/>
          <w:sz w:val="24"/>
          <w:szCs w:val="24"/>
        </w:rPr>
        <w:t>Z udzielonych wyjaśnień wynika, iż niższy poziom realizacji dochodów był spowodowany ograniczoną skalą strat powodziowych na terenie Gminy Miedźna oraz brakiem zgłoszeń dotyczących pomocy finansowej na zaspokojenie niezbędnych potrzeb bytowych przez gospodarstwa domowe poszkodowane w wyniku powodzi.</w:t>
      </w:r>
    </w:p>
    <w:p w14:paraId="782E4F30" w14:textId="77777777" w:rsidR="003D774F" w:rsidRPr="00D16F1F" w:rsidRDefault="003D774F" w:rsidP="003D774F">
      <w:pPr>
        <w:spacing w:after="0" w:line="240" w:lineRule="auto"/>
        <w:ind w:left="284" w:firstLine="424"/>
        <w:jc w:val="both"/>
        <w:rPr>
          <w:rFonts w:cstheme="minorHAnsi"/>
          <w:sz w:val="24"/>
          <w:szCs w:val="24"/>
        </w:rPr>
      </w:pPr>
    </w:p>
    <w:p w14:paraId="23A0EA09" w14:textId="77777777" w:rsidR="003D774F" w:rsidRPr="00D16F1F" w:rsidRDefault="003D774F" w:rsidP="003D774F">
      <w:pPr>
        <w:spacing w:after="0" w:line="240" w:lineRule="auto"/>
        <w:ind w:firstLine="360"/>
        <w:jc w:val="both"/>
        <w:rPr>
          <w:rFonts w:cstheme="minorHAnsi"/>
          <w:sz w:val="24"/>
          <w:szCs w:val="24"/>
        </w:rPr>
      </w:pPr>
      <w:r w:rsidRPr="00D16F1F">
        <w:rPr>
          <w:rFonts w:cstheme="minorHAnsi"/>
          <w:b/>
          <w:sz w:val="24"/>
          <w:szCs w:val="24"/>
        </w:rPr>
        <w:t>Dochody majątkowe</w:t>
      </w:r>
      <w:r w:rsidRPr="00D16F1F">
        <w:rPr>
          <w:rFonts w:cstheme="minorHAnsi"/>
          <w:sz w:val="24"/>
          <w:szCs w:val="24"/>
        </w:rPr>
        <w:t xml:space="preserve"> zostały wykonane w 94,5%. W stosunku do planu nie zrealizowano dochodów w kwocie 458 482,89 zł.</w:t>
      </w:r>
    </w:p>
    <w:p w14:paraId="6F3F3003" w14:textId="77777777" w:rsidR="003D774F" w:rsidRPr="00D16F1F" w:rsidRDefault="003D774F" w:rsidP="003D774F">
      <w:pPr>
        <w:spacing w:after="0" w:line="240" w:lineRule="auto"/>
        <w:ind w:firstLine="360"/>
        <w:jc w:val="both"/>
        <w:rPr>
          <w:rFonts w:cstheme="minorHAnsi"/>
          <w:sz w:val="24"/>
          <w:szCs w:val="24"/>
        </w:rPr>
      </w:pPr>
      <w:r w:rsidRPr="00D16F1F">
        <w:rPr>
          <w:rFonts w:cstheme="minorHAnsi"/>
          <w:sz w:val="24"/>
          <w:szCs w:val="24"/>
        </w:rPr>
        <w:lastRenderedPageBreak/>
        <w:t>Odchylenia od planu przekraczające</w:t>
      </w:r>
      <w:r>
        <w:rPr>
          <w:rFonts w:cstheme="minorHAnsi"/>
          <w:sz w:val="24"/>
          <w:szCs w:val="24"/>
        </w:rPr>
        <w:t xml:space="preserve"> 10</w:t>
      </w:r>
      <w:r w:rsidRPr="00D16F1F">
        <w:rPr>
          <w:rFonts w:cstheme="minorHAnsi"/>
          <w:sz w:val="24"/>
          <w:szCs w:val="24"/>
        </w:rPr>
        <w:t>% wystąpiły wyłącznie w dziale 600 – transport i łączność-, gdzie wykonanie wyniosło 0,0%, co oznacza brak realizacji dochodów w kwocie 474 193,76 zł.</w:t>
      </w:r>
    </w:p>
    <w:p w14:paraId="6621CDA3" w14:textId="77777777" w:rsidR="003D774F" w:rsidRPr="00D16F1F" w:rsidRDefault="003D774F" w:rsidP="003D774F">
      <w:pPr>
        <w:spacing w:after="0" w:line="240" w:lineRule="auto"/>
        <w:ind w:left="284"/>
        <w:jc w:val="both"/>
        <w:rPr>
          <w:rFonts w:cstheme="minorHAnsi"/>
          <w:sz w:val="24"/>
          <w:szCs w:val="24"/>
        </w:rPr>
      </w:pPr>
    </w:p>
    <w:p w14:paraId="39DACB72" w14:textId="77777777" w:rsidR="003D774F" w:rsidRPr="00D16F1F" w:rsidRDefault="003D774F" w:rsidP="003D774F">
      <w:pPr>
        <w:spacing w:after="0" w:line="240" w:lineRule="auto"/>
        <w:ind w:left="284" w:firstLine="567"/>
        <w:jc w:val="both"/>
        <w:rPr>
          <w:rFonts w:cstheme="minorHAnsi"/>
          <w:sz w:val="24"/>
          <w:szCs w:val="24"/>
        </w:rPr>
      </w:pPr>
      <w:r w:rsidRPr="00D16F1F">
        <w:rPr>
          <w:rFonts w:cstheme="minorHAnsi"/>
          <w:sz w:val="24"/>
          <w:szCs w:val="24"/>
        </w:rPr>
        <w:t>Uzyskano informację, iż środki z Rządowego Funduszu Polski Ład- Program Inwestycji Strategicznych na dofinasowanie zadania pn. „Modernizacja dróg i chodników w gminie Miedźna” nie zostały przekazane w całości z uwagi na przesunięcie terminu realizacji części inwestycji na 2025 rok.</w:t>
      </w:r>
    </w:p>
    <w:p w14:paraId="19BB971A" w14:textId="77777777" w:rsidR="003D774F" w:rsidRPr="00D16F1F" w:rsidRDefault="003D774F" w:rsidP="003D774F">
      <w:pPr>
        <w:spacing w:after="0" w:line="240" w:lineRule="auto"/>
        <w:ind w:left="284" w:firstLine="424"/>
        <w:jc w:val="both"/>
        <w:rPr>
          <w:rFonts w:cstheme="minorHAnsi"/>
          <w:strike/>
          <w:sz w:val="24"/>
          <w:szCs w:val="24"/>
        </w:rPr>
      </w:pPr>
    </w:p>
    <w:p w14:paraId="4CA08D3F" w14:textId="77777777" w:rsidR="003D774F" w:rsidRPr="00D16F1F" w:rsidRDefault="003D774F" w:rsidP="003D774F">
      <w:pPr>
        <w:spacing w:after="0" w:line="240" w:lineRule="auto"/>
        <w:ind w:left="284" w:firstLine="424"/>
        <w:jc w:val="both"/>
        <w:rPr>
          <w:rFonts w:cstheme="minorHAnsi"/>
          <w:sz w:val="24"/>
          <w:szCs w:val="24"/>
        </w:rPr>
      </w:pPr>
      <w:r w:rsidRPr="00D16F1F">
        <w:rPr>
          <w:rFonts w:cstheme="minorHAnsi"/>
          <w:sz w:val="24"/>
          <w:szCs w:val="24"/>
        </w:rPr>
        <w:t>W ocenie Komisji Rewizyjnej, na podstawie przedstawionych dokumentów oraz złożonych  wyjaśnień realizacja dochodów następowała w sposób prawidłowy, natomiast niewykonanie części planowanych dochodów miało charakter obiektywny i wynikało z przyczyn wskazanych powyżej.</w:t>
      </w:r>
    </w:p>
    <w:p w14:paraId="46578AB2" w14:textId="77777777" w:rsidR="003D774F" w:rsidRPr="00D16F1F" w:rsidRDefault="003D774F" w:rsidP="003D774F">
      <w:pPr>
        <w:spacing w:after="0" w:line="240" w:lineRule="auto"/>
        <w:ind w:left="284" w:firstLine="424"/>
        <w:jc w:val="both"/>
        <w:rPr>
          <w:rFonts w:cstheme="minorHAnsi"/>
          <w:sz w:val="24"/>
          <w:szCs w:val="24"/>
        </w:rPr>
      </w:pPr>
    </w:p>
    <w:p w14:paraId="27709C37" w14:textId="77777777" w:rsidR="003D774F" w:rsidRPr="00D16F1F" w:rsidRDefault="003D774F" w:rsidP="003D774F">
      <w:pPr>
        <w:spacing w:after="0" w:line="240" w:lineRule="auto"/>
        <w:ind w:left="284"/>
        <w:jc w:val="both"/>
        <w:rPr>
          <w:rFonts w:cstheme="minorHAnsi"/>
          <w:sz w:val="24"/>
          <w:szCs w:val="24"/>
        </w:rPr>
      </w:pPr>
      <w:r w:rsidRPr="00D16F1F">
        <w:rPr>
          <w:rFonts w:cstheme="minorHAnsi"/>
          <w:sz w:val="24"/>
          <w:szCs w:val="24"/>
        </w:rPr>
        <w:t>2.2.</w:t>
      </w:r>
      <w:r w:rsidRPr="00D16F1F">
        <w:rPr>
          <w:rFonts w:cstheme="minorHAnsi"/>
          <w:b/>
          <w:sz w:val="24"/>
          <w:szCs w:val="24"/>
        </w:rPr>
        <w:t xml:space="preserve"> Wydatki</w:t>
      </w:r>
      <w:r w:rsidRPr="00D16F1F">
        <w:rPr>
          <w:rFonts w:cstheme="minorHAnsi"/>
          <w:sz w:val="24"/>
          <w:szCs w:val="24"/>
        </w:rPr>
        <w:t xml:space="preserve">, z uwzględnieniem dokonanych w trakcie roku zmian zostały wykonane na poziomie 93,4% , tj. o 7 476 668,20 zł mniej, niż planowano. </w:t>
      </w:r>
    </w:p>
    <w:p w14:paraId="2625C3BF" w14:textId="77777777" w:rsidR="003D774F" w:rsidRPr="00D16F1F" w:rsidRDefault="003D774F" w:rsidP="003D774F">
      <w:pPr>
        <w:spacing w:after="0" w:line="240" w:lineRule="auto"/>
        <w:ind w:left="284" w:firstLine="708"/>
        <w:jc w:val="both"/>
        <w:rPr>
          <w:rFonts w:cstheme="minorHAnsi"/>
          <w:b/>
          <w:sz w:val="24"/>
          <w:szCs w:val="24"/>
        </w:rPr>
      </w:pPr>
    </w:p>
    <w:p w14:paraId="11D34118" w14:textId="77777777" w:rsidR="003D774F" w:rsidRPr="00D16F1F" w:rsidRDefault="003D774F" w:rsidP="003D774F">
      <w:pPr>
        <w:spacing w:after="0" w:line="240" w:lineRule="auto"/>
        <w:ind w:left="284" w:firstLine="708"/>
        <w:jc w:val="both"/>
        <w:rPr>
          <w:rFonts w:cstheme="minorHAnsi"/>
          <w:sz w:val="24"/>
          <w:szCs w:val="24"/>
        </w:rPr>
      </w:pPr>
      <w:r w:rsidRPr="00D16F1F">
        <w:rPr>
          <w:rFonts w:cstheme="minorHAnsi"/>
          <w:b/>
          <w:sz w:val="24"/>
          <w:szCs w:val="24"/>
        </w:rPr>
        <w:t>Wydatki bieżące</w:t>
      </w:r>
      <w:r w:rsidRPr="00D16F1F">
        <w:rPr>
          <w:rFonts w:cstheme="minorHAnsi"/>
          <w:sz w:val="24"/>
          <w:szCs w:val="24"/>
        </w:rPr>
        <w:t xml:space="preserve"> wykonano w 93,7%, co oznacza niewykonanie na kwotę 6 316 622,69 zł niższą niż planowano. Odchylenia przekraczające 10 % wystąpiły w następujących działach klasyfikacji budżetowej:</w:t>
      </w:r>
    </w:p>
    <w:p w14:paraId="7074ECDD" w14:textId="77777777" w:rsidR="003D774F" w:rsidRPr="00D16F1F" w:rsidRDefault="003D774F" w:rsidP="003D774F">
      <w:pPr>
        <w:pStyle w:val="Default"/>
        <w:numPr>
          <w:ilvl w:val="0"/>
          <w:numId w:val="7"/>
        </w:numPr>
        <w:jc w:val="both"/>
        <w:rPr>
          <w:rFonts w:asciiTheme="minorHAnsi" w:hAnsiTheme="minorHAnsi" w:cstheme="minorHAnsi"/>
        </w:rPr>
      </w:pPr>
      <w:r w:rsidRPr="00D16F1F">
        <w:rPr>
          <w:rFonts w:asciiTheme="minorHAnsi" w:hAnsiTheme="minorHAnsi" w:cstheme="minorHAnsi"/>
          <w:b/>
          <w:bCs/>
        </w:rPr>
        <w:t>dział 500</w:t>
      </w:r>
      <w:r>
        <w:rPr>
          <w:rFonts w:asciiTheme="minorHAnsi" w:hAnsiTheme="minorHAnsi" w:cstheme="minorHAnsi"/>
          <w:bCs/>
        </w:rPr>
        <w:t xml:space="preserve"> </w:t>
      </w:r>
      <w:r w:rsidRPr="00D16F1F">
        <w:rPr>
          <w:rFonts w:asciiTheme="minorHAnsi" w:hAnsiTheme="minorHAnsi" w:cstheme="minorHAnsi"/>
        </w:rPr>
        <w:t>– handel- 37,1% (niewykonanie: 188,8 zł),</w:t>
      </w:r>
    </w:p>
    <w:p w14:paraId="50AFCE80" w14:textId="77777777" w:rsidR="003D774F" w:rsidRPr="00D16F1F" w:rsidRDefault="003D774F" w:rsidP="003D774F">
      <w:pPr>
        <w:pStyle w:val="Default"/>
        <w:numPr>
          <w:ilvl w:val="0"/>
          <w:numId w:val="7"/>
        </w:numPr>
        <w:jc w:val="both"/>
        <w:rPr>
          <w:rFonts w:asciiTheme="minorHAnsi" w:hAnsiTheme="minorHAnsi" w:cstheme="minorHAnsi"/>
        </w:rPr>
      </w:pPr>
      <w:r w:rsidRPr="00D16F1F">
        <w:rPr>
          <w:rFonts w:asciiTheme="minorHAnsi" w:hAnsiTheme="minorHAnsi" w:cstheme="minorHAnsi"/>
          <w:b/>
        </w:rPr>
        <w:t>dział 700</w:t>
      </w:r>
      <w:r>
        <w:rPr>
          <w:rFonts w:asciiTheme="minorHAnsi" w:hAnsiTheme="minorHAnsi" w:cstheme="minorHAnsi"/>
        </w:rPr>
        <w:t xml:space="preserve"> </w:t>
      </w:r>
      <w:r w:rsidRPr="00D16F1F">
        <w:rPr>
          <w:rFonts w:asciiTheme="minorHAnsi" w:hAnsiTheme="minorHAnsi" w:cstheme="minorHAnsi"/>
        </w:rPr>
        <w:t>– gospodarka mieszkaniowa 85,5% (niewykonanie: 66 497,59 zł),</w:t>
      </w:r>
    </w:p>
    <w:p w14:paraId="0391D3DA" w14:textId="77777777" w:rsidR="003D774F" w:rsidRPr="00D16F1F" w:rsidRDefault="003D774F" w:rsidP="003D774F">
      <w:pPr>
        <w:pStyle w:val="Default"/>
        <w:numPr>
          <w:ilvl w:val="0"/>
          <w:numId w:val="7"/>
        </w:numPr>
        <w:jc w:val="both"/>
        <w:rPr>
          <w:rFonts w:asciiTheme="minorHAnsi" w:hAnsiTheme="minorHAnsi" w:cstheme="minorHAnsi"/>
        </w:rPr>
      </w:pPr>
      <w:r w:rsidRPr="00D16F1F">
        <w:rPr>
          <w:rFonts w:asciiTheme="minorHAnsi" w:hAnsiTheme="minorHAnsi" w:cstheme="minorHAnsi"/>
          <w:b/>
        </w:rPr>
        <w:t>dział 754</w:t>
      </w:r>
      <w:r>
        <w:rPr>
          <w:rFonts w:asciiTheme="minorHAnsi" w:hAnsiTheme="minorHAnsi" w:cstheme="minorHAnsi"/>
        </w:rPr>
        <w:t xml:space="preserve"> </w:t>
      </w:r>
      <w:r w:rsidRPr="00D16F1F">
        <w:rPr>
          <w:rFonts w:asciiTheme="minorHAnsi" w:hAnsiTheme="minorHAnsi" w:cstheme="minorHAnsi"/>
        </w:rPr>
        <w:t>–</w:t>
      </w:r>
      <w:r>
        <w:rPr>
          <w:rFonts w:asciiTheme="minorHAnsi" w:hAnsiTheme="minorHAnsi" w:cstheme="minorHAnsi"/>
        </w:rPr>
        <w:t xml:space="preserve"> </w:t>
      </w:r>
      <w:r w:rsidRPr="00D16F1F">
        <w:rPr>
          <w:rFonts w:asciiTheme="minorHAnsi" w:hAnsiTheme="minorHAnsi" w:cstheme="minorHAnsi"/>
        </w:rPr>
        <w:t>bezpieczeństwo publiczne i ochrona przeciwpożarowa- 76,6% (niewykonanie: 143 878,11 zł),</w:t>
      </w:r>
    </w:p>
    <w:p w14:paraId="0C791363" w14:textId="77777777" w:rsidR="003D774F" w:rsidRPr="00D16F1F" w:rsidRDefault="003D774F" w:rsidP="003D774F">
      <w:pPr>
        <w:pStyle w:val="Default"/>
        <w:numPr>
          <w:ilvl w:val="0"/>
          <w:numId w:val="7"/>
        </w:numPr>
        <w:jc w:val="both"/>
        <w:rPr>
          <w:rFonts w:asciiTheme="minorHAnsi" w:hAnsiTheme="minorHAnsi" w:cstheme="minorHAnsi"/>
        </w:rPr>
      </w:pPr>
      <w:r w:rsidRPr="00D16F1F">
        <w:rPr>
          <w:rFonts w:asciiTheme="minorHAnsi" w:hAnsiTheme="minorHAnsi" w:cstheme="minorHAnsi"/>
          <w:b/>
        </w:rPr>
        <w:t>dział 851</w:t>
      </w:r>
      <w:r>
        <w:rPr>
          <w:rFonts w:asciiTheme="minorHAnsi" w:hAnsiTheme="minorHAnsi" w:cstheme="minorHAnsi"/>
        </w:rPr>
        <w:t xml:space="preserve"> </w:t>
      </w:r>
      <w:r w:rsidRPr="00D16F1F">
        <w:rPr>
          <w:rFonts w:asciiTheme="minorHAnsi" w:hAnsiTheme="minorHAnsi" w:cstheme="minorHAnsi"/>
        </w:rPr>
        <w:t>– ochrona zdrowia- 85,9% (niewykonanie: 58 280,68 zł)</w:t>
      </w:r>
    </w:p>
    <w:p w14:paraId="1BE9717E" w14:textId="77777777" w:rsidR="003D774F" w:rsidRPr="00D16F1F" w:rsidRDefault="003D774F" w:rsidP="003D774F">
      <w:pPr>
        <w:pStyle w:val="Default"/>
        <w:numPr>
          <w:ilvl w:val="0"/>
          <w:numId w:val="7"/>
        </w:numPr>
        <w:jc w:val="both"/>
        <w:rPr>
          <w:rFonts w:asciiTheme="minorHAnsi" w:hAnsiTheme="minorHAnsi" w:cstheme="minorHAnsi"/>
        </w:rPr>
      </w:pPr>
      <w:r>
        <w:rPr>
          <w:rFonts w:asciiTheme="minorHAnsi" w:hAnsiTheme="minorHAnsi" w:cstheme="minorHAnsi"/>
          <w:b/>
        </w:rPr>
        <w:t xml:space="preserve">dział </w:t>
      </w:r>
      <w:r w:rsidRPr="00D16F1F">
        <w:rPr>
          <w:rFonts w:asciiTheme="minorHAnsi" w:hAnsiTheme="minorHAnsi" w:cstheme="minorHAnsi"/>
          <w:b/>
        </w:rPr>
        <w:t>853</w:t>
      </w:r>
      <w:r>
        <w:rPr>
          <w:rFonts w:asciiTheme="minorHAnsi" w:hAnsiTheme="minorHAnsi" w:cstheme="minorHAnsi"/>
        </w:rPr>
        <w:t xml:space="preserve"> </w:t>
      </w:r>
      <w:r w:rsidRPr="00D16F1F">
        <w:rPr>
          <w:rFonts w:asciiTheme="minorHAnsi" w:hAnsiTheme="minorHAnsi" w:cstheme="minorHAnsi"/>
        </w:rPr>
        <w:t>– pozostałe zadania w zakresie polityki społecznej- 45,9% (niewykonanie: 72 000 zł),</w:t>
      </w:r>
    </w:p>
    <w:p w14:paraId="65B3AEE9" w14:textId="77777777" w:rsidR="003D774F" w:rsidRPr="00D16F1F" w:rsidRDefault="003D774F" w:rsidP="003D774F">
      <w:pPr>
        <w:pStyle w:val="Default"/>
        <w:numPr>
          <w:ilvl w:val="0"/>
          <w:numId w:val="7"/>
        </w:numPr>
        <w:jc w:val="both"/>
        <w:rPr>
          <w:rFonts w:asciiTheme="minorHAnsi" w:hAnsiTheme="minorHAnsi" w:cstheme="minorHAnsi"/>
        </w:rPr>
      </w:pPr>
      <w:r>
        <w:rPr>
          <w:rFonts w:asciiTheme="minorHAnsi" w:hAnsiTheme="minorHAnsi" w:cstheme="minorHAnsi"/>
          <w:b/>
        </w:rPr>
        <w:t xml:space="preserve">dział </w:t>
      </w:r>
      <w:r w:rsidRPr="00D16F1F">
        <w:rPr>
          <w:rFonts w:asciiTheme="minorHAnsi" w:hAnsiTheme="minorHAnsi" w:cstheme="minorHAnsi"/>
          <w:b/>
        </w:rPr>
        <w:t>854</w:t>
      </w:r>
      <w:r>
        <w:rPr>
          <w:rFonts w:asciiTheme="minorHAnsi" w:hAnsiTheme="minorHAnsi" w:cstheme="minorHAnsi"/>
        </w:rPr>
        <w:t xml:space="preserve"> </w:t>
      </w:r>
      <w:r w:rsidRPr="00D16F1F">
        <w:rPr>
          <w:rFonts w:asciiTheme="minorHAnsi" w:hAnsiTheme="minorHAnsi" w:cstheme="minorHAnsi"/>
        </w:rPr>
        <w:t>– edukacyjna opieka wychowawcza- 82,2% (niewykonanie: 96 101,02 zł)</w:t>
      </w:r>
    </w:p>
    <w:p w14:paraId="394A0D11" w14:textId="77777777" w:rsidR="003D774F" w:rsidRPr="00D16F1F" w:rsidRDefault="003D774F" w:rsidP="003D774F">
      <w:pPr>
        <w:pStyle w:val="Default"/>
        <w:ind w:left="1352"/>
        <w:jc w:val="both"/>
        <w:rPr>
          <w:rFonts w:asciiTheme="minorHAnsi" w:hAnsiTheme="minorHAnsi" w:cstheme="minorHAnsi"/>
        </w:rPr>
      </w:pPr>
    </w:p>
    <w:p w14:paraId="68E418A5" w14:textId="77777777" w:rsidR="003D774F" w:rsidRPr="00D16F1F" w:rsidRDefault="003D774F" w:rsidP="003D774F">
      <w:pPr>
        <w:spacing w:after="0" w:line="240" w:lineRule="auto"/>
        <w:ind w:firstLine="708"/>
        <w:jc w:val="both"/>
        <w:rPr>
          <w:rFonts w:cstheme="minorHAnsi"/>
          <w:sz w:val="24"/>
          <w:szCs w:val="24"/>
        </w:rPr>
      </w:pPr>
      <w:r w:rsidRPr="00D16F1F">
        <w:rPr>
          <w:rFonts w:cstheme="minorHAnsi"/>
          <w:sz w:val="24"/>
          <w:szCs w:val="24"/>
        </w:rPr>
        <w:t>Niskie wykonanie wydatków w poszczególnych działach wynikło z mniejszego niż zakładano zakresu użytkowania placu targowego, niższych kosztów przeglądów budynków i instalacji, oraz oszczędności przy realizacji robót w budynkach komunalnych, W dziale 851 wydatki nie zostały zrealizowane z uwagi na późne otrzymanie dotacji, co uniemożliwiło ich terminowe wydatkowanie. Niskie wykonanie w dziale 853 wynikało z powodu braku osób ubiegających o zasiłki celowe dla poszkodowanych w wyniku powodzi. W dziale 854 niższy poziom wykonania spowodowany był ograniczonym zapotrzebowaniem na zajęcia wczesnego wspomagania rozwoju, niższą niż planowano frekwencją uczniów podczas zimowisk i półkolonii, a także mniejszą liczbą złożonych wniosków o stypendia oraz czynnikami formalnymi.</w:t>
      </w:r>
    </w:p>
    <w:p w14:paraId="1192591F" w14:textId="77777777" w:rsidR="003D774F" w:rsidRPr="00D16F1F" w:rsidRDefault="003D774F" w:rsidP="003D774F">
      <w:pPr>
        <w:spacing w:after="0" w:line="240" w:lineRule="auto"/>
        <w:ind w:firstLine="708"/>
        <w:jc w:val="both"/>
        <w:rPr>
          <w:rFonts w:cstheme="minorHAnsi"/>
          <w:sz w:val="24"/>
          <w:szCs w:val="24"/>
        </w:rPr>
      </w:pPr>
    </w:p>
    <w:p w14:paraId="3671B24F" w14:textId="77777777" w:rsidR="003D774F" w:rsidRPr="00D16F1F" w:rsidRDefault="003D774F" w:rsidP="003D774F">
      <w:pPr>
        <w:spacing w:after="0" w:line="240" w:lineRule="auto"/>
        <w:ind w:firstLine="708"/>
        <w:jc w:val="both"/>
        <w:rPr>
          <w:rFonts w:cstheme="minorHAnsi"/>
          <w:sz w:val="24"/>
          <w:szCs w:val="24"/>
        </w:rPr>
      </w:pPr>
      <w:r w:rsidRPr="00D16F1F">
        <w:rPr>
          <w:rFonts w:cstheme="minorHAnsi"/>
          <w:b/>
          <w:sz w:val="24"/>
          <w:szCs w:val="24"/>
        </w:rPr>
        <w:t>Wydatki majątkowe</w:t>
      </w:r>
      <w:r w:rsidRPr="00D16F1F">
        <w:rPr>
          <w:rFonts w:cstheme="minorHAnsi"/>
          <w:sz w:val="24"/>
          <w:szCs w:val="24"/>
        </w:rPr>
        <w:t xml:space="preserve"> zostały wykonane w łącznej kwocie 12 513 504,71 zł, co stanowi 91,5% planu. Wydatki te odpowiadają około 11,84% ogółu wydatków budżetowych poniesionych w roku 2024.</w:t>
      </w:r>
    </w:p>
    <w:p w14:paraId="42D25571" w14:textId="77777777" w:rsidR="003D774F" w:rsidRPr="00D16F1F" w:rsidRDefault="003D774F" w:rsidP="003D774F">
      <w:pPr>
        <w:pStyle w:val="Akapitzlist"/>
        <w:spacing w:after="0" w:line="240" w:lineRule="auto"/>
        <w:ind w:left="709"/>
        <w:jc w:val="both"/>
        <w:rPr>
          <w:rFonts w:cstheme="minorHAnsi"/>
          <w:sz w:val="24"/>
          <w:szCs w:val="24"/>
        </w:rPr>
      </w:pPr>
    </w:p>
    <w:p w14:paraId="1A24BA9A" w14:textId="77777777" w:rsidR="003D774F" w:rsidRPr="00D16F1F" w:rsidRDefault="003D774F" w:rsidP="003D774F">
      <w:pPr>
        <w:spacing w:after="0" w:line="240" w:lineRule="auto"/>
        <w:ind w:left="284" w:firstLine="708"/>
        <w:jc w:val="both"/>
        <w:rPr>
          <w:rFonts w:cstheme="minorHAnsi"/>
          <w:sz w:val="24"/>
          <w:szCs w:val="24"/>
        </w:rPr>
      </w:pPr>
      <w:r w:rsidRPr="00D16F1F">
        <w:rPr>
          <w:rFonts w:cstheme="minorHAnsi"/>
          <w:sz w:val="24"/>
          <w:szCs w:val="24"/>
        </w:rPr>
        <w:t>Odchylenia przekraczające 10% stwierdzono w następujących działach:</w:t>
      </w:r>
    </w:p>
    <w:p w14:paraId="0E1764AA" w14:textId="77777777" w:rsidR="003D774F" w:rsidRPr="00D16F1F" w:rsidRDefault="003D774F" w:rsidP="003D774F">
      <w:pPr>
        <w:pStyle w:val="Akapitzlist"/>
        <w:numPr>
          <w:ilvl w:val="0"/>
          <w:numId w:val="8"/>
        </w:numPr>
        <w:spacing w:after="0" w:line="240" w:lineRule="auto"/>
        <w:jc w:val="both"/>
        <w:rPr>
          <w:rFonts w:cstheme="minorHAnsi"/>
          <w:sz w:val="24"/>
          <w:szCs w:val="24"/>
        </w:rPr>
      </w:pPr>
      <w:r w:rsidRPr="00D16F1F">
        <w:rPr>
          <w:rFonts w:cstheme="minorHAnsi"/>
          <w:b/>
          <w:sz w:val="24"/>
          <w:szCs w:val="24"/>
        </w:rPr>
        <w:t>dział 600</w:t>
      </w:r>
      <w:r>
        <w:rPr>
          <w:rFonts w:cstheme="minorHAnsi"/>
          <w:sz w:val="24"/>
          <w:szCs w:val="24"/>
        </w:rPr>
        <w:t xml:space="preserve"> </w:t>
      </w:r>
      <w:r w:rsidRPr="00D16F1F">
        <w:rPr>
          <w:rFonts w:cstheme="minorHAnsi"/>
          <w:sz w:val="24"/>
          <w:szCs w:val="24"/>
        </w:rPr>
        <w:t>– transport i łączność- 74% (niewykonanie: 549 326,64 zł),</w:t>
      </w:r>
    </w:p>
    <w:p w14:paraId="327D8282" w14:textId="77777777" w:rsidR="003D774F" w:rsidRPr="00D16F1F" w:rsidRDefault="003D774F" w:rsidP="003D774F">
      <w:pPr>
        <w:pStyle w:val="Akapitzlist"/>
        <w:numPr>
          <w:ilvl w:val="0"/>
          <w:numId w:val="8"/>
        </w:numPr>
        <w:spacing w:after="0" w:line="240" w:lineRule="auto"/>
        <w:jc w:val="both"/>
        <w:rPr>
          <w:rFonts w:cstheme="minorHAnsi"/>
          <w:sz w:val="24"/>
          <w:szCs w:val="24"/>
        </w:rPr>
      </w:pPr>
      <w:r w:rsidRPr="00D16F1F">
        <w:rPr>
          <w:rFonts w:cstheme="minorHAnsi"/>
          <w:b/>
          <w:sz w:val="24"/>
          <w:szCs w:val="24"/>
        </w:rPr>
        <w:lastRenderedPageBreak/>
        <w:t>dział 700</w:t>
      </w:r>
      <w:r>
        <w:rPr>
          <w:rFonts w:cstheme="minorHAnsi"/>
          <w:sz w:val="24"/>
          <w:szCs w:val="24"/>
        </w:rPr>
        <w:t xml:space="preserve"> </w:t>
      </w:r>
      <w:r w:rsidRPr="00D16F1F">
        <w:rPr>
          <w:rFonts w:cstheme="minorHAnsi"/>
          <w:sz w:val="24"/>
          <w:szCs w:val="24"/>
        </w:rPr>
        <w:t>–</w:t>
      </w:r>
      <w:r>
        <w:rPr>
          <w:rFonts w:cstheme="minorHAnsi"/>
          <w:sz w:val="24"/>
          <w:szCs w:val="24"/>
        </w:rPr>
        <w:t xml:space="preserve"> </w:t>
      </w:r>
      <w:r w:rsidRPr="00D16F1F">
        <w:rPr>
          <w:rFonts w:cstheme="minorHAnsi"/>
          <w:sz w:val="24"/>
          <w:szCs w:val="24"/>
        </w:rPr>
        <w:t>gospodarka mieszkaniowa- 84,8% (niewykonanie: 185 650,98 zł),</w:t>
      </w:r>
    </w:p>
    <w:p w14:paraId="14048A46" w14:textId="77777777" w:rsidR="003D774F" w:rsidRPr="00D16F1F" w:rsidRDefault="003D774F" w:rsidP="003D774F">
      <w:pPr>
        <w:pStyle w:val="Akapitzlist"/>
        <w:numPr>
          <w:ilvl w:val="0"/>
          <w:numId w:val="8"/>
        </w:numPr>
        <w:spacing w:after="0" w:line="240" w:lineRule="auto"/>
        <w:jc w:val="both"/>
        <w:rPr>
          <w:rFonts w:cstheme="minorHAnsi"/>
          <w:sz w:val="24"/>
          <w:szCs w:val="24"/>
        </w:rPr>
      </w:pPr>
      <w:r w:rsidRPr="00D16F1F">
        <w:rPr>
          <w:rFonts w:cstheme="minorHAnsi"/>
          <w:b/>
          <w:sz w:val="24"/>
          <w:szCs w:val="24"/>
        </w:rPr>
        <w:t>dział 750</w:t>
      </w:r>
      <w:r>
        <w:rPr>
          <w:rFonts w:cstheme="minorHAnsi"/>
          <w:sz w:val="24"/>
          <w:szCs w:val="24"/>
        </w:rPr>
        <w:t xml:space="preserve"> </w:t>
      </w:r>
      <w:r w:rsidRPr="00D16F1F">
        <w:rPr>
          <w:rFonts w:cstheme="minorHAnsi"/>
          <w:sz w:val="24"/>
          <w:szCs w:val="24"/>
        </w:rPr>
        <w:t>–</w:t>
      </w:r>
      <w:r>
        <w:rPr>
          <w:rFonts w:cstheme="minorHAnsi"/>
          <w:sz w:val="24"/>
          <w:szCs w:val="24"/>
        </w:rPr>
        <w:t xml:space="preserve"> </w:t>
      </w:r>
      <w:r w:rsidRPr="00D16F1F">
        <w:rPr>
          <w:rFonts w:cstheme="minorHAnsi"/>
          <w:sz w:val="24"/>
          <w:szCs w:val="24"/>
        </w:rPr>
        <w:t>administracja publiczna- 23,4% (niewykonanie: 152 441,49 zł),</w:t>
      </w:r>
    </w:p>
    <w:p w14:paraId="0D395921" w14:textId="5AC7D40A" w:rsidR="003D774F" w:rsidRPr="00D16F1F" w:rsidRDefault="003D774F" w:rsidP="003D774F">
      <w:pPr>
        <w:pStyle w:val="Akapitzlist"/>
        <w:numPr>
          <w:ilvl w:val="0"/>
          <w:numId w:val="8"/>
        </w:numPr>
        <w:spacing w:after="0" w:line="240" w:lineRule="auto"/>
        <w:jc w:val="both"/>
        <w:rPr>
          <w:rFonts w:cstheme="minorHAnsi"/>
          <w:sz w:val="24"/>
          <w:szCs w:val="24"/>
        </w:rPr>
      </w:pPr>
      <w:r w:rsidRPr="00D16F1F">
        <w:rPr>
          <w:rFonts w:cstheme="minorHAnsi"/>
          <w:b/>
          <w:sz w:val="24"/>
          <w:szCs w:val="24"/>
        </w:rPr>
        <w:t>dział 801</w:t>
      </w:r>
      <w:r>
        <w:rPr>
          <w:rFonts w:cstheme="minorHAnsi"/>
          <w:sz w:val="24"/>
          <w:szCs w:val="24"/>
        </w:rPr>
        <w:t xml:space="preserve"> </w:t>
      </w:r>
      <w:r w:rsidRPr="00D16F1F">
        <w:rPr>
          <w:rFonts w:cstheme="minorHAnsi"/>
          <w:sz w:val="24"/>
          <w:szCs w:val="24"/>
        </w:rPr>
        <w:t>–</w:t>
      </w:r>
      <w:r>
        <w:rPr>
          <w:rFonts w:cstheme="minorHAnsi"/>
          <w:sz w:val="24"/>
          <w:szCs w:val="24"/>
        </w:rPr>
        <w:t xml:space="preserve"> </w:t>
      </w:r>
      <w:r w:rsidRPr="00D16F1F">
        <w:rPr>
          <w:rFonts w:cstheme="minorHAnsi"/>
          <w:sz w:val="24"/>
          <w:szCs w:val="24"/>
        </w:rPr>
        <w:t xml:space="preserve">oświata i wychowanie- 89,3% (niewykonanie: </w:t>
      </w:r>
      <w:r w:rsidRPr="008854AB">
        <w:rPr>
          <w:rFonts w:cstheme="minorHAnsi"/>
          <w:sz w:val="24"/>
          <w:szCs w:val="24"/>
        </w:rPr>
        <w:t>92 2</w:t>
      </w:r>
      <w:r w:rsidR="008854AB" w:rsidRPr="008854AB">
        <w:rPr>
          <w:rFonts w:cstheme="minorHAnsi"/>
          <w:sz w:val="24"/>
          <w:szCs w:val="24"/>
        </w:rPr>
        <w:t>03</w:t>
      </w:r>
      <w:r w:rsidRPr="008854AB">
        <w:rPr>
          <w:rFonts w:cstheme="minorHAnsi"/>
          <w:sz w:val="24"/>
          <w:szCs w:val="24"/>
        </w:rPr>
        <w:t>,29 zł),</w:t>
      </w:r>
    </w:p>
    <w:p w14:paraId="6C1CF537" w14:textId="5CF0B8D9" w:rsidR="003D774F" w:rsidRPr="00D16F1F" w:rsidRDefault="003D774F" w:rsidP="003D774F">
      <w:pPr>
        <w:pStyle w:val="Akapitzlist"/>
        <w:numPr>
          <w:ilvl w:val="0"/>
          <w:numId w:val="8"/>
        </w:numPr>
        <w:spacing w:after="0" w:line="240" w:lineRule="auto"/>
        <w:jc w:val="both"/>
        <w:rPr>
          <w:rFonts w:cstheme="minorHAnsi"/>
          <w:sz w:val="24"/>
          <w:szCs w:val="24"/>
        </w:rPr>
      </w:pPr>
      <w:r w:rsidRPr="00D16F1F">
        <w:rPr>
          <w:rFonts w:cstheme="minorHAnsi"/>
          <w:b/>
          <w:sz w:val="24"/>
          <w:szCs w:val="24"/>
        </w:rPr>
        <w:t>dział 855</w:t>
      </w:r>
      <w:r>
        <w:rPr>
          <w:rFonts w:cstheme="minorHAnsi"/>
          <w:sz w:val="24"/>
          <w:szCs w:val="24"/>
        </w:rPr>
        <w:t xml:space="preserve"> </w:t>
      </w:r>
      <w:r w:rsidRPr="00D16F1F">
        <w:rPr>
          <w:rFonts w:cstheme="minorHAnsi"/>
          <w:sz w:val="24"/>
          <w:szCs w:val="24"/>
        </w:rPr>
        <w:t>– rodzina- 89,7% (niewykonanie: 8 776,9</w:t>
      </w:r>
      <w:r w:rsidR="00F9144A">
        <w:rPr>
          <w:rFonts w:cstheme="minorHAnsi"/>
          <w:sz w:val="24"/>
          <w:szCs w:val="24"/>
        </w:rPr>
        <w:t>0</w:t>
      </w:r>
      <w:r w:rsidRPr="00D16F1F">
        <w:rPr>
          <w:rFonts w:cstheme="minorHAnsi"/>
          <w:sz w:val="24"/>
          <w:szCs w:val="24"/>
        </w:rPr>
        <w:t xml:space="preserve"> zł).</w:t>
      </w:r>
    </w:p>
    <w:p w14:paraId="2DF841F5" w14:textId="77777777" w:rsidR="003D774F" w:rsidRPr="00D16F1F" w:rsidRDefault="003D774F" w:rsidP="003D774F">
      <w:pPr>
        <w:pStyle w:val="Akapitzlist"/>
        <w:spacing w:after="0" w:line="240" w:lineRule="auto"/>
        <w:ind w:left="709"/>
        <w:jc w:val="both"/>
        <w:rPr>
          <w:rFonts w:cstheme="minorHAnsi"/>
          <w:sz w:val="24"/>
          <w:szCs w:val="24"/>
        </w:rPr>
      </w:pPr>
    </w:p>
    <w:p w14:paraId="28071AF6" w14:textId="77777777" w:rsidR="003D774F" w:rsidRPr="00D16F1F" w:rsidRDefault="003D774F" w:rsidP="003D774F">
      <w:pPr>
        <w:spacing w:after="0" w:line="240" w:lineRule="auto"/>
        <w:ind w:firstLine="567"/>
        <w:jc w:val="both"/>
        <w:rPr>
          <w:rFonts w:cstheme="minorHAnsi"/>
          <w:sz w:val="24"/>
          <w:szCs w:val="24"/>
        </w:rPr>
      </w:pPr>
      <w:r w:rsidRPr="00D16F1F">
        <w:rPr>
          <w:rFonts w:cstheme="minorHAnsi"/>
          <w:sz w:val="24"/>
          <w:szCs w:val="24"/>
        </w:rPr>
        <w:t>Zaplanowane inwestycje, z uwzględnieniem zmian wprowadzonych w ciągu roku budżetowego zostały zasadniczo zrealizowane.</w:t>
      </w:r>
    </w:p>
    <w:p w14:paraId="33A229BB" w14:textId="77777777" w:rsidR="003D774F" w:rsidRPr="00D16F1F" w:rsidRDefault="003D774F" w:rsidP="003D774F">
      <w:pPr>
        <w:spacing w:after="0" w:line="240" w:lineRule="auto"/>
        <w:ind w:firstLine="567"/>
        <w:jc w:val="both"/>
        <w:rPr>
          <w:rFonts w:cstheme="minorHAnsi"/>
          <w:sz w:val="24"/>
          <w:szCs w:val="24"/>
        </w:rPr>
      </w:pPr>
      <w:r w:rsidRPr="00D16F1F">
        <w:rPr>
          <w:rFonts w:cstheme="minorHAnsi"/>
          <w:sz w:val="24"/>
          <w:szCs w:val="24"/>
        </w:rPr>
        <w:t>W dziale 600 zadanie „Modernizacja dróg i chodników w gminie Miedźna” zostanie kontynuowane w 2025 roku, zgodnie z planem jego realizacji w latach 2023-2025.</w:t>
      </w:r>
    </w:p>
    <w:p w14:paraId="6F27C705" w14:textId="77777777" w:rsidR="003D774F" w:rsidRPr="00D16F1F" w:rsidRDefault="003D774F" w:rsidP="003D774F">
      <w:pPr>
        <w:spacing w:after="0" w:line="240" w:lineRule="auto"/>
        <w:ind w:firstLine="567"/>
        <w:jc w:val="both"/>
        <w:rPr>
          <w:rFonts w:cstheme="minorHAnsi"/>
          <w:sz w:val="24"/>
          <w:szCs w:val="24"/>
        </w:rPr>
      </w:pPr>
      <w:r w:rsidRPr="00D16F1F">
        <w:rPr>
          <w:rFonts w:cstheme="minorHAnsi"/>
          <w:sz w:val="24"/>
          <w:szCs w:val="24"/>
        </w:rPr>
        <w:t>W ramach działu 700 niewykonanie  wydatków było spowodowane zaniechaniem realizacji zadania pn. „Termomodernizacja budynku mieszkalnego zlokalizowanego w Woli przy ul. Szkolnej 27” przez wykonawcę. W związku z powyższym Gmina odstąpiła od zawartej umowy z wykonawcą w listopadzie 2024 roku.</w:t>
      </w:r>
    </w:p>
    <w:p w14:paraId="640AEDB8" w14:textId="77777777" w:rsidR="003D774F" w:rsidRPr="00D16F1F" w:rsidRDefault="003D774F" w:rsidP="003D774F">
      <w:pPr>
        <w:spacing w:after="0" w:line="240" w:lineRule="auto"/>
        <w:ind w:firstLine="567"/>
        <w:jc w:val="both"/>
        <w:rPr>
          <w:rFonts w:cstheme="minorHAnsi"/>
          <w:sz w:val="24"/>
          <w:szCs w:val="24"/>
        </w:rPr>
      </w:pPr>
      <w:r w:rsidRPr="00D16F1F">
        <w:rPr>
          <w:rFonts w:cstheme="minorHAnsi"/>
          <w:sz w:val="24"/>
          <w:szCs w:val="24"/>
        </w:rPr>
        <w:t>W dziale 750 zadanie inwestycyjne nie zostało zrealizowane z uwagi na konieczność wyboru odpowiednich rozwiązań technicznych i programowych, dostosowanych do wymogów dyrektywy NIS2.</w:t>
      </w:r>
    </w:p>
    <w:p w14:paraId="124EA30F" w14:textId="77777777" w:rsidR="003D774F" w:rsidRPr="00D16F1F" w:rsidRDefault="003D774F" w:rsidP="003D774F">
      <w:pPr>
        <w:spacing w:after="0" w:line="240" w:lineRule="auto"/>
        <w:ind w:firstLine="567"/>
        <w:jc w:val="both"/>
        <w:rPr>
          <w:rFonts w:cstheme="minorHAnsi"/>
          <w:sz w:val="24"/>
          <w:szCs w:val="24"/>
        </w:rPr>
      </w:pPr>
      <w:r w:rsidRPr="00D16F1F">
        <w:rPr>
          <w:rFonts w:cstheme="minorHAnsi"/>
          <w:sz w:val="24"/>
          <w:szCs w:val="24"/>
        </w:rPr>
        <w:t xml:space="preserve">Wyjątek stanowi zadanie pn. „Przebudowa wraz z odwodnieniem ul. Zacisze oraz odwodnienie drogi ul. Potok w </w:t>
      </w:r>
      <w:proofErr w:type="spellStart"/>
      <w:r w:rsidRPr="00D16F1F">
        <w:rPr>
          <w:rFonts w:cstheme="minorHAnsi"/>
          <w:sz w:val="24"/>
          <w:szCs w:val="24"/>
        </w:rPr>
        <w:t>Miedźnej</w:t>
      </w:r>
      <w:proofErr w:type="spellEnd"/>
      <w:r w:rsidRPr="00D16F1F">
        <w:rPr>
          <w:rFonts w:cstheme="minorHAnsi"/>
          <w:sz w:val="24"/>
          <w:szCs w:val="24"/>
        </w:rPr>
        <w:t>.”, które</w:t>
      </w:r>
      <w:r>
        <w:rPr>
          <w:rFonts w:cstheme="minorHAnsi"/>
          <w:sz w:val="24"/>
          <w:szCs w:val="24"/>
        </w:rPr>
        <w:t xml:space="preserve"> </w:t>
      </w:r>
      <w:r w:rsidRPr="00D16F1F">
        <w:rPr>
          <w:rFonts w:cstheme="minorHAnsi"/>
          <w:sz w:val="24"/>
          <w:szCs w:val="24"/>
        </w:rPr>
        <w:t>zostanie sfinansowane w roku 2025 w ramach wydatków niewygasających. Zgodnie z wyjaśnieniami, przyczyną opóźnienia w realizacji tego zadania było oczekiwanie na uzyskanie pozwolenia wodnoprawnego, niezbędnego do zakończenia prac nad dokumentacją projektową.</w:t>
      </w:r>
    </w:p>
    <w:p w14:paraId="6DD2298C" w14:textId="77777777" w:rsidR="003D774F" w:rsidRPr="00D16F1F" w:rsidRDefault="003D774F" w:rsidP="003D774F">
      <w:pPr>
        <w:spacing w:after="0" w:line="240" w:lineRule="auto"/>
        <w:ind w:firstLine="567"/>
        <w:jc w:val="both"/>
        <w:rPr>
          <w:rFonts w:cstheme="minorHAnsi"/>
          <w:sz w:val="24"/>
          <w:szCs w:val="24"/>
        </w:rPr>
      </w:pPr>
    </w:p>
    <w:p w14:paraId="3290DB6B" w14:textId="77777777" w:rsidR="003D774F" w:rsidRPr="00D16F1F" w:rsidRDefault="003D774F" w:rsidP="003D774F">
      <w:pPr>
        <w:spacing w:after="0" w:line="240" w:lineRule="auto"/>
        <w:ind w:firstLine="284"/>
        <w:jc w:val="both"/>
        <w:rPr>
          <w:rFonts w:cstheme="minorHAnsi"/>
          <w:sz w:val="24"/>
          <w:szCs w:val="24"/>
        </w:rPr>
      </w:pPr>
      <w:r w:rsidRPr="00D16F1F">
        <w:rPr>
          <w:rFonts w:cstheme="minorHAnsi"/>
          <w:sz w:val="24"/>
          <w:szCs w:val="24"/>
        </w:rPr>
        <w:t xml:space="preserve">2.3. Zaplanowane w budżecie Gminy </w:t>
      </w:r>
      <w:r w:rsidRPr="00D16F1F">
        <w:rPr>
          <w:rFonts w:cstheme="minorHAnsi"/>
          <w:b/>
          <w:sz w:val="24"/>
          <w:szCs w:val="24"/>
        </w:rPr>
        <w:t>rezerwy</w:t>
      </w:r>
      <w:r w:rsidRPr="00D16F1F">
        <w:rPr>
          <w:rFonts w:cstheme="minorHAnsi"/>
          <w:sz w:val="24"/>
          <w:szCs w:val="24"/>
        </w:rPr>
        <w:t xml:space="preserve"> zostały rozdysponowane zgodnie z obowiązującymi przepisami prawa.</w:t>
      </w:r>
    </w:p>
    <w:p w14:paraId="7A3E5F93" w14:textId="77777777" w:rsidR="003D774F" w:rsidRPr="00D16F1F" w:rsidRDefault="003D774F" w:rsidP="003D774F">
      <w:pPr>
        <w:spacing w:after="0" w:line="240" w:lineRule="auto"/>
        <w:jc w:val="both"/>
        <w:rPr>
          <w:rFonts w:cstheme="minorHAnsi"/>
          <w:sz w:val="24"/>
          <w:szCs w:val="24"/>
        </w:rPr>
      </w:pPr>
    </w:p>
    <w:p w14:paraId="45E58416" w14:textId="77777777" w:rsidR="003D774F" w:rsidRPr="00D16F1F" w:rsidRDefault="003D774F" w:rsidP="003D774F">
      <w:pPr>
        <w:pStyle w:val="Akapitzlist"/>
        <w:numPr>
          <w:ilvl w:val="0"/>
          <w:numId w:val="2"/>
        </w:numPr>
        <w:spacing w:after="0" w:line="240" w:lineRule="auto"/>
        <w:ind w:left="0" w:firstLine="360"/>
        <w:jc w:val="both"/>
        <w:rPr>
          <w:rFonts w:cstheme="minorHAnsi"/>
          <w:sz w:val="24"/>
          <w:szCs w:val="24"/>
        </w:rPr>
      </w:pPr>
      <w:r w:rsidRPr="00D16F1F">
        <w:rPr>
          <w:rFonts w:cstheme="minorHAnsi"/>
          <w:sz w:val="24"/>
          <w:szCs w:val="24"/>
        </w:rPr>
        <w:t>Skutki obniżenia górnych stawek podatków lokalnych za 2024 rok wyniosły 2 666 510,85 zł, co stanowi 2,61% zrealizowanych dochodów bieżących.</w:t>
      </w:r>
    </w:p>
    <w:p w14:paraId="1109193C" w14:textId="77777777" w:rsidR="003D774F" w:rsidRPr="00D16F1F" w:rsidRDefault="003D774F" w:rsidP="003D774F">
      <w:pPr>
        <w:spacing w:after="0" w:line="240" w:lineRule="auto"/>
        <w:jc w:val="both"/>
        <w:rPr>
          <w:rFonts w:cstheme="minorHAnsi"/>
          <w:sz w:val="24"/>
          <w:szCs w:val="24"/>
        </w:rPr>
      </w:pPr>
      <w:r w:rsidRPr="00D16F1F">
        <w:rPr>
          <w:rFonts w:cstheme="minorHAnsi"/>
          <w:sz w:val="24"/>
          <w:szCs w:val="24"/>
        </w:rPr>
        <w:t xml:space="preserve">Skutki udzielonych ulg i zwolnień, w tym ulg udzielonych na podstawie ustawy - Ordynacja Podatkowa, wyniosły 1 384 966,91 zł, tj. 1,35% zrealizowanych dochodów bieżących.  </w:t>
      </w:r>
    </w:p>
    <w:p w14:paraId="2519D316" w14:textId="77777777" w:rsidR="003D774F" w:rsidRPr="00D16F1F" w:rsidRDefault="003D774F" w:rsidP="003D774F">
      <w:pPr>
        <w:pStyle w:val="Akapitzlist"/>
        <w:spacing w:after="0" w:line="240" w:lineRule="auto"/>
        <w:jc w:val="both"/>
        <w:rPr>
          <w:rFonts w:cstheme="minorHAnsi"/>
          <w:sz w:val="24"/>
          <w:szCs w:val="24"/>
        </w:rPr>
      </w:pPr>
    </w:p>
    <w:p w14:paraId="6AC3C6FC" w14:textId="77777777" w:rsidR="003D774F" w:rsidRPr="00D16F1F" w:rsidRDefault="003D774F" w:rsidP="003D774F">
      <w:pPr>
        <w:pStyle w:val="Akapitzlist"/>
        <w:numPr>
          <w:ilvl w:val="0"/>
          <w:numId w:val="2"/>
        </w:numPr>
        <w:spacing w:after="0" w:line="240" w:lineRule="auto"/>
        <w:ind w:left="0" w:firstLine="284"/>
        <w:jc w:val="both"/>
        <w:rPr>
          <w:rFonts w:cstheme="minorHAnsi"/>
          <w:sz w:val="24"/>
          <w:szCs w:val="24"/>
        </w:rPr>
      </w:pPr>
      <w:r w:rsidRPr="00D16F1F">
        <w:rPr>
          <w:rFonts w:cstheme="minorHAnsi"/>
          <w:sz w:val="24"/>
          <w:szCs w:val="24"/>
        </w:rPr>
        <w:t>Budżet Gminy zamknął się nadwyżką w wysokości 4 465 769,09 zł, przy planowanym deficycie w kwocie 1 525 786,87 zł.</w:t>
      </w:r>
    </w:p>
    <w:p w14:paraId="73B5A323" w14:textId="77777777" w:rsidR="003D774F" w:rsidRPr="00D16F1F" w:rsidRDefault="003D774F" w:rsidP="003D774F">
      <w:pPr>
        <w:pStyle w:val="Akapitzlist"/>
        <w:spacing w:after="0" w:line="240" w:lineRule="auto"/>
        <w:ind w:left="284"/>
        <w:jc w:val="both"/>
        <w:rPr>
          <w:rFonts w:cstheme="minorHAnsi"/>
          <w:sz w:val="24"/>
          <w:szCs w:val="24"/>
        </w:rPr>
      </w:pPr>
    </w:p>
    <w:p w14:paraId="1A405DA5" w14:textId="45A6FB3A" w:rsidR="003D774F" w:rsidRPr="00D16F1F" w:rsidRDefault="003D774F" w:rsidP="003D774F">
      <w:pPr>
        <w:pStyle w:val="Akapitzlist"/>
        <w:numPr>
          <w:ilvl w:val="0"/>
          <w:numId w:val="2"/>
        </w:numPr>
        <w:spacing w:after="0" w:line="240" w:lineRule="auto"/>
        <w:ind w:left="0" w:firstLine="284"/>
        <w:jc w:val="both"/>
        <w:rPr>
          <w:rFonts w:cstheme="minorHAnsi"/>
          <w:sz w:val="24"/>
          <w:szCs w:val="24"/>
        </w:rPr>
      </w:pPr>
      <w:r w:rsidRPr="00D16F1F">
        <w:rPr>
          <w:rFonts w:cstheme="minorHAnsi"/>
          <w:b/>
          <w:sz w:val="24"/>
          <w:szCs w:val="24"/>
        </w:rPr>
        <w:t>Przychody</w:t>
      </w:r>
      <w:r w:rsidRPr="00D16F1F">
        <w:rPr>
          <w:rFonts w:cstheme="minorHAnsi"/>
          <w:sz w:val="24"/>
          <w:szCs w:val="24"/>
        </w:rPr>
        <w:t xml:space="preserve"> zwrotne obejmowały pożyczkę zaciągniętą w Wojewódzkim Funduszu Ochrony Środowiska i Gospodarki Wodnej w kwocie 107 250 zł, przeznaczoną na finansowanie działań związanych z niską emisją. Pożyczkę zaciągnięto zgodnie z udzielonym upoważnieniem i po uzyskaniu opinii Regionalnej Izby Obrachunkowej w Katowicach.  </w:t>
      </w:r>
    </w:p>
    <w:p w14:paraId="32553405" w14:textId="62FCB964" w:rsidR="003D774F" w:rsidRPr="00D16F1F" w:rsidRDefault="003D774F" w:rsidP="008C2781">
      <w:pPr>
        <w:pStyle w:val="Akapitzlist"/>
        <w:spacing w:after="0" w:line="240" w:lineRule="auto"/>
        <w:ind w:left="0"/>
        <w:jc w:val="both"/>
        <w:rPr>
          <w:rFonts w:cstheme="minorHAnsi"/>
          <w:sz w:val="24"/>
          <w:szCs w:val="24"/>
        </w:rPr>
      </w:pPr>
      <w:r w:rsidRPr="00D16F1F">
        <w:rPr>
          <w:rFonts w:cstheme="minorHAnsi"/>
          <w:sz w:val="24"/>
          <w:szCs w:val="24"/>
        </w:rPr>
        <w:t>Pozostałe przychody stanowiły niewykorzystane środki z lat ubiegłych oraz środki pochodzące</w:t>
      </w:r>
      <w:r w:rsidR="008C2781">
        <w:rPr>
          <w:rFonts w:cstheme="minorHAnsi"/>
          <w:sz w:val="24"/>
          <w:szCs w:val="24"/>
        </w:rPr>
        <w:t xml:space="preserve"> </w:t>
      </w:r>
      <w:r w:rsidRPr="00D16F1F">
        <w:rPr>
          <w:rFonts w:cstheme="minorHAnsi"/>
          <w:sz w:val="24"/>
          <w:szCs w:val="24"/>
        </w:rPr>
        <w:t>z lokat.</w:t>
      </w:r>
    </w:p>
    <w:p w14:paraId="09B97CAF" w14:textId="77777777" w:rsidR="003D774F" w:rsidRPr="00D16F1F" w:rsidRDefault="003D774F" w:rsidP="003D774F">
      <w:pPr>
        <w:pStyle w:val="Akapitzlist"/>
        <w:spacing w:after="0" w:line="240" w:lineRule="auto"/>
        <w:ind w:hanging="720"/>
        <w:jc w:val="both"/>
        <w:rPr>
          <w:rFonts w:cstheme="minorHAnsi"/>
          <w:sz w:val="24"/>
          <w:szCs w:val="24"/>
        </w:rPr>
      </w:pPr>
    </w:p>
    <w:p w14:paraId="2BF10963" w14:textId="77777777" w:rsidR="003D774F" w:rsidRPr="00D16F1F" w:rsidRDefault="003D774F" w:rsidP="003D774F">
      <w:pPr>
        <w:pStyle w:val="Akapitzlist"/>
        <w:numPr>
          <w:ilvl w:val="0"/>
          <w:numId w:val="2"/>
        </w:numPr>
        <w:spacing w:after="0" w:line="240" w:lineRule="auto"/>
        <w:ind w:left="0" w:firstLine="360"/>
        <w:jc w:val="both"/>
        <w:rPr>
          <w:rFonts w:cstheme="minorHAnsi"/>
          <w:sz w:val="24"/>
          <w:szCs w:val="24"/>
        </w:rPr>
      </w:pPr>
      <w:r w:rsidRPr="00D16F1F">
        <w:rPr>
          <w:rFonts w:cstheme="minorHAnsi"/>
          <w:b/>
          <w:sz w:val="24"/>
          <w:szCs w:val="24"/>
        </w:rPr>
        <w:t>Rozchody</w:t>
      </w:r>
      <w:r w:rsidRPr="00D16F1F">
        <w:rPr>
          <w:rFonts w:cstheme="minorHAnsi"/>
          <w:sz w:val="24"/>
          <w:szCs w:val="24"/>
        </w:rPr>
        <w:t xml:space="preserve"> zostały zrealizowane </w:t>
      </w:r>
      <w:r>
        <w:rPr>
          <w:rFonts w:cstheme="minorHAnsi"/>
          <w:sz w:val="24"/>
          <w:szCs w:val="24"/>
        </w:rPr>
        <w:t>w 100,0</w:t>
      </w:r>
      <w:r w:rsidRPr="00D16F1F">
        <w:rPr>
          <w:rFonts w:cstheme="minorHAnsi"/>
          <w:sz w:val="24"/>
          <w:szCs w:val="24"/>
        </w:rPr>
        <w:t xml:space="preserve">%. Spłata zadłużenia w kwocie 674 018,29 zł przebiegała zgodnie z ustalonym harmonogramem. </w:t>
      </w:r>
    </w:p>
    <w:p w14:paraId="5901DD33" w14:textId="77777777" w:rsidR="003D774F" w:rsidRPr="00D16F1F" w:rsidRDefault="003D774F" w:rsidP="003D774F">
      <w:pPr>
        <w:pStyle w:val="Akapitzlist"/>
        <w:spacing w:after="0" w:line="240" w:lineRule="auto"/>
        <w:ind w:left="0" w:firstLine="360"/>
        <w:jc w:val="both"/>
        <w:rPr>
          <w:rFonts w:cstheme="minorHAnsi"/>
          <w:sz w:val="24"/>
          <w:szCs w:val="24"/>
        </w:rPr>
      </w:pPr>
    </w:p>
    <w:p w14:paraId="378FDD3F" w14:textId="77777777" w:rsidR="003D774F" w:rsidRPr="00D16F1F" w:rsidRDefault="003D774F" w:rsidP="003D774F">
      <w:pPr>
        <w:pStyle w:val="Akapitzlist"/>
        <w:numPr>
          <w:ilvl w:val="0"/>
          <w:numId w:val="2"/>
        </w:numPr>
        <w:spacing w:after="0" w:line="240" w:lineRule="auto"/>
        <w:ind w:left="0" w:firstLine="360"/>
        <w:jc w:val="both"/>
        <w:rPr>
          <w:rFonts w:cstheme="minorHAnsi"/>
          <w:sz w:val="24"/>
          <w:szCs w:val="24"/>
        </w:rPr>
      </w:pPr>
      <w:r w:rsidRPr="00D16F1F">
        <w:rPr>
          <w:rFonts w:cstheme="minorHAnsi"/>
          <w:b/>
          <w:sz w:val="24"/>
          <w:szCs w:val="24"/>
        </w:rPr>
        <w:t>Zadłużenie</w:t>
      </w:r>
      <w:r w:rsidRPr="00D16F1F">
        <w:rPr>
          <w:rFonts w:cstheme="minorHAnsi"/>
          <w:sz w:val="24"/>
          <w:szCs w:val="24"/>
        </w:rPr>
        <w:t xml:space="preserve"> Gminy na dzień 31 grudnia 2024</w:t>
      </w:r>
      <w:r>
        <w:rPr>
          <w:rFonts w:cstheme="minorHAnsi"/>
          <w:sz w:val="24"/>
          <w:szCs w:val="24"/>
        </w:rPr>
        <w:t xml:space="preserve"> </w:t>
      </w:r>
      <w:r w:rsidRPr="00D16F1F">
        <w:rPr>
          <w:rFonts w:cstheme="minorHAnsi"/>
          <w:sz w:val="24"/>
          <w:szCs w:val="24"/>
        </w:rPr>
        <w:t xml:space="preserve">r. wyniosło 3 431 299,28 zł, i zmniejszyło się w stosunku do roku poprzedniego o kwotę 566 768,29 zł. </w:t>
      </w:r>
    </w:p>
    <w:p w14:paraId="25278D0F" w14:textId="77777777" w:rsidR="003D774F" w:rsidRPr="00D16F1F" w:rsidRDefault="003D774F" w:rsidP="003D774F">
      <w:pPr>
        <w:spacing w:after="0" w:line="240" w:lineRule="auto"/>
        <w:jc w:val="both"/>
        <w:rPr>
          <w:rFonts w:cstheme="minorHAnsi"/>
          <w:sz w:val="24"/>
          <w:szCs w:val="24"/>
        </w:rPr>
      </w:pPr>
    </w:p>
    <w:p w14:paraId="795B43C0" w14:textId="77777777" w:rsidR="003D774F" w:rsidRPr="00D16F1F" w:rsidRDefault="003D774F" w:rsidP="003D774F">
      <w:pPr>
        <w:pStyle w:val="Akapitzlist"/>
        <w:numPr>
          <w:ilvl w:val="0"/>
          <w:numId w:val="2"/>
        </w:numPr>
        <w:tabs>
          <w:tab w:val="left" w:pos="709"/>
        </w:tabs>
        <w:spacing w:after="0" w:line="240" w:lineRule="auto"/>
        <w:ind w:left="709" w:hanging="349"/>
        <w:jc w:val="both"/>
        <w:rPr>
          <w:rFonts w:cstheme="minorHAnsi"/>
          <w:sz w:val="24"/>
          <w:szCs w:val="24"/>
        </w:rPr>
      </w:pPr>
      <w:r w:rsidRPr="00D16F1F">
        <w:rPr>
          <w:rFonts w:cstheme="minorHAnsi"/>
          <w:sz w:val="24"/>
          <w:szCs w:val="24"/>
        </w:rPr>
        <w:t xml:space="preserve"> Na dzień 31 grudnia 2024 r. została zachowana:</w:t>
      </w:r>
    </w:p>
    <w:p w14:paraId="3D430BA5" w14:textId="77777777" w:rsidR="003D774F" w:rsidRPr="00D16F1F" w:rsidRDefault="003D774F" w:rsidP="003D774F">
      <w:pPr>
        <w:pStyle w:val="Akapitzlist"/>
        <w:numPr>
          <w:ilvl w:val="0"/>
          <w:numId w:val="4"/>
        </w:numPr>
        <w:tabs>
          <w:tab w:val="left" w:pos="709"/>
          <w:tab w:val="left" w:pos="993"/>
        </w:tabs>
        <w:spacing w:after="0" w:line="240" w:lineRule="auto"/>
        <w:ind w:hanging="11"/>
        <w:jc w:val="both"/>
        <w:rPr>
          <w:rFonts w:cstheme="minorHAnsi"/>
          <w:sz w:val="24"/>
          <w:szCs w:val="24"/>
        </w:rPr>
      </w:pPr>
      <w:r w:rsidRPr="00D16F1F">
        <w:rPr>
          <w:rFonts w:cstheme="minorHAnsi"/>
          <w:sz w:val="24"/>
          <w:szCs w:val="24"/>
        </w:rPr>
        <w:lastRenderedPageBreak/>
        <w:t>relacja z art. 242 ustawy z dnia 27 sierpnia 2009</w:t>
      </w:r>
      <w:r>
        <w:rPr>
          <w:rFonts w:cstheme="minorHAnsi"/>
          <w:sz w:val="24"/>
          <w:szCs w:val="24"/>
        </w:rPr>
        <w:t xml:space="preserve"> </w:t>
      </w:r>
      <w:r w:rsidRPr="00D16F1F">
        <w:rPr>
          <w:rFonts w:cstheme="minorHAnsi"/>
          <w:sz w:val="24"/>
          <w:szCs w:val="24"/>
        </w:rPr>
        <w:t>r. o finansach publicznych,</w:t>
      </w:r>
    </w:p>
    <w:p w14:paraId="50228C30" w14:textId="77777777" w:rsidR="003D774F" w:rsidRPr="00D16F1F" w:rsidRDefault="003D774F" w:rsidP="003D774F">
      <w:pPr>
        <w:pStyle w:val="Akapitzlist"/>
        <w:numPr>
          <w:ilvl w:val="0"/>
          <w:numId w:val="4"/>
        </w:numPr>
        <w:tabs>
          <w:tab w:val="left" w:pos="709"/>
          <w:tab w:val="left" w:pos="993"/>
        </w:tabs>
        <w:spacing w:after="0" w:line="240" w:lineRule="auto"/>
        <w:ind w:hanging="11"/>
        <w:jc w:val="both"/>
        <w:rPr>
          <w:rFonts w:cstheme="minorHAnsi"/>
          <w:sz w:val="24"/>
          <w:szCs w:val="24"/>
        </w:rPr>
      </w:pPr>
      <w:r w:rsidRPr="00D16F1F">
        <w:rPr>
          <w:rFonts w:cstheme="minorHAnsi"/>
          <w:sz w:val="24"/>
          <w:szCs w:val="24"/>
        </w:rPr>
        <w:t>relacja z art. 243 ustawy z dnia 27 sierpnia 2009</w:t>
      </w:r>
      <w:r>
        <w:rPr>
          <w:rFonts w:cstheme="minorHAnsi"/>
          <w:sz w:val="24"/>
          <w:szCs w:val="24"/>
        </w:rPr>
        <w:t xml:space="preserve"> </w:t>
      </w:r>
      <w:r w:rsidRPr="00D16F1F">
        <w:rPr>
          <w:rFonts w:cstheme="minorHAnsi"/>
          <w:sz w:val="24"/>
          <w:szCs w:val="24"/>
        </w:rPr>
        <w:t>r. o finansach publicznych.</w:t>
      </w:r>
    </w:p>
    <w:p w14:paraId="5868DFB5" w14:textId="77777777" w:rsidR="003D774F" w:rsidRPr="00D16F1F" w:rsidRDefault="003D774F" w:rsidP="003D774F">
      <w:pPr>
        <w:pStyle w:val="Akapitzlist"/>
        <w:spacing w:after="0" w:line="240" w:lineRule="auto"/>
        <w:ind w:left="360"/>
        <w:jc w:val="both"/>
        <w:rPr>
          <w:rFonts w:cstheme="minorHAnsi"/>
          <w:sz w:val="24"/>
          <w:szCs w:val="24"/>
        </w:rPr>
      </w:pPr>
    </w:p>
    <w:p w14:paraId="4A5B0D87" w14:textId="77777777" w:rsidR="003D774F" w:rsidRPr="00D16F1F" w:rsidRDefault="003D774F" w:rsidP="003D774F">
      <w:pPr>
        <w:pStyle w:val="Akapitzlist"/>
        <w:numPr>
          <w:ilvl w:val="0"/>
          <w:numId w:val="2"/>
        </w:numPr>
        <w:spacing w:after="0" w:line="240" w:lineRule="auto"/>
        <w:ind w:left="0" w:firstLine="360"/>
        <w:jc w:val="both"/>
        <w:rPr>
          <w:rFonts w:cstheme="minorHAnsi"/>
          <w:sz w:val="24"/>
          <w:szCs w:val="24"/>
        </w:rPr>
      </w:pPr>
      <w:r w:rsidRPr="00D16F1F">
        <w:rPr>
          <w:rFonts w:cstheme="minorHAnsi"/>
          <w:sz w:val="24"/>
          <w:szCs w:val="24"/>
        </w:rPr>
        <w:t>Ponadto Komisja Rewizyjna stwierdziła, że:</w:t>
      </w:r>
    </w:p>
    <w:p w14:paraId="2222C7AA" w14:textId="77777777" w:rsidR="003D774F" w:rsidRPr="00D16F1F" w:rsidRDefault="003D774F" w:rsidP="003D774F">
      <w:pPr>
        <w:pStyle w:val="Akapitzlist"/>
        <w:numPr>
          <w:ilvl w:val="0"/>
          <w:numId w:val="5"/>
        </w:numPr>
        <w:spacing w:after="0" w:line="240" w:lineRule="auto"/>
        <w:ind w:left="993" w:hanging="284"/>
        <w:jc w:val="both"/>
        <w:rPr>
          <w:rFonts w:cstheme="minorHAnsi"/>
          <w:sz w:val="24"/>
          <w:szCs w:val="24"/>
        </w:rPr>
      </w:pPr>
      <w:r w:rsidRPr="00D16F1F">
        <w:rPr>
          <w:rFonts w:cstheme="minorHAnsi"/>
          <w:sz w:val="24"/>
          <w:szCs w:val="24"/>
        </w:rPr>
        <w:t>w opinii Komisji, wydatki ponoszone były w sposób celowy, z zachowaniem zasad gospodarności i rzetelności,</w:t>
      </w:r>
    </w:p>
    <w:p w14:paraId="2B529382" w14:textId="77777777" w:rsidR="003D774F" w:rsidRPr="00D16F1F" w:rsidRDefault="003D774F" w:rsidP="003D774F">
      <w:pPr>
        <w:pStyle w:val="Akapitzlist"/>
        <w:numPr>
          <w:ilvl w:val="0"/>
          <w:numId w:val="5"/>
        </w:numPr>
        <w:spacing w:after="0" w:line="240" w:lineRule="auto"/>
        <w:ind w:left="993" w:hanging="284"/>
        <w:jc w:val="both"/>
        <w:rPr>
          <w:rFonts w:cstheme="minorHAnsi"/>
          <w:sz w:val="24"/>
          <w:szCs w:val="24"/>
        </w:rPr>
      </w:pPr>
      <w:r w:rsidRPr="00D16F1F">
        <w:rPr>
          <w:rFonts w:cstheme="minorHAnsi"/>
          <w:sz w:val="24"/>
          <w:szCs w:val="24"/>
        </w:rPr>
        <w:t>nie stwierdzono przypadków zaciągania zobowiązań ponad zakres upoważnień wynikających z uchwały budżetowej,</w:t>
      </w:r>
    </w:p>
    <w:p w14:paraId="19F1B866" w14:textId="77777777" w:rsidR="003D774F" w:rsidRPr="00D16F1F" w:rsidRDefault="003D774F" w:rsidP="003D774F">
      <w:pPr>
        <w:pStyle w:val="Akapitzlist"/>
        <w:numPr>
          <w:ilvl w:val="0"/>
          <w:numId w:val="5"/>
        </w:numPr>
        <w:spacing w:after="0" w:line="240" w:lineRule="auto"/>
        <w:ind w:left="993" w:hanging="284"/>
        <w:jc w:val="both"/>
        <w:rPr>
          <w:rFonts w:cstheme="minorHAnsi"/>
          <w:sz w:val="24"/>
          <w:szCs w:val="24"/>
        </w:rPr>
      </w:pPr>
      <w:r w:rsidRPr="00D16F1F">
        <w:rPr>
          <w:rFonts w:cstheme="minorHAnsi"/>
          <w:sz w:val="24"/>
          <w:szCs w:val="24"/>
        </w:rPr>
        <w:t>zadania planowane w ramach funduszy sołeckich zostały zrealizowane w całości.</w:t>
      </w:r>
    </w:p>
    <w:p w14:paraId="693BD02F" w14:textId="77777777" w:rsidR="003D774F" w:rsidRPr="00D16F1F" w:rsidRDefault="003D774F" w:rsidP="003D774F">
      <w:pPr>
        <w:spacing w:after="0" w:line="240" w:lineRule="auto"/>
        <w:jc w:val="both"/>
        <w:rPr>
          <w:rFonts w:cstheme="minorHAnsi"/>
          <w:sz w:val="24"/>
          <w:szCs w:val="24"/>
        </w:rPr>
      </w:pPr>
    </w:p>
    <w:p w14:paraId="36AE7E94" w14:textId="77777777" w:rsidR="003D774F" w:rsidRPr="00D16F1F" w:rsidRDefault="003D774F" w:rsidP="003D774F">
      <w:pPr>
        <w:spacing w:after="0" w:line="240" w:lineRule="auto"/>
        <w:jc w:val="both"/>
        <w:rPr>
          <w:rFonts w:cstheme="minorHAnsi"/>
          <w:sz w:val="24"/>
          <w:szCs w:val="24"/>
          <w:u w:val="single"/>
        </w:rPr>
      </w:pPr>
    </w:p>
    <w:p w14:paraId="5F3AD5FF" w14:textId="77777777" w:rsidR="003D774F" w:rsidRPr="00D16F1F" w:rsidRDefault="003D774F" w:rsidP="003D774F">
      <w:pPr>
        <w:spacing w:after="0" w:line="240" w:lineRule="auto"/>
        <w:ind w:firstLine="360"/>
        <w:jc w:val="both"/>
        <w:rPr>
          <w:rFonts w:cstheme="minorHAnsi"/>
          <w:sz w:val="24"/>
          <w:szCs w:val="24"/>
          <w:u w:val="single"/>
        </w:rPr>
      </w:pPr>
      <w:r w:rsidRPr="00D16F1F">
        <w:rPr>
          <w:rFonts w:cstheme="minorHAnsi"/>
          <w:sz w:val="24"/>
          <w:szCs w:val="24"/>
          <w:u w:val="single"/>
        </w:rPr>
        <w:t>W zakresie sprawozdania finansowego:</w:t>
      </w:r>
    </w:p>
    <w:p w14:paraId="6F30767E" w14:textId="77777777" w:rsidR="003D774F" w:rsidRPr="00D16F1F" w:rsidRDefault="003D774F" w:rsidP="003D774F">
      <w:pPr>
        <w:pStyle w:val="Akapitzlist"/>
        <w:numPr>
          <w:ilvl w:val="0"/>
          <w:numId w:val="2"/>
        </w:numPr>
        <w:spacing w:after="0" w:line="240" w:lineRule="auto"/>
        <w:jc w:val="both"/>
        <w:rPr>
          <w:rFonts w:cstheme="minorHAnsi"/>
          <w:sz w:val="24"/>
          <w:szCs w:val="24"/>
        </w:rPr>
      </w:pPr>
      <w:r w:rsidRPr="00D16F1F">
        <w:rPr>
          <w:rFonts w:cstheme="minorHAnsi"/>
          <w:sz w:val="24"/>
          <w:szCs w:val="24"/>
        </w:rPr>
        <w:t xml:space="preserve">Bilans z wykonania budżetu Gminy Miedźna wykazuje </w:t>
      </w:r>
      <w:r w:rsidRPr="00D16F1F">
        <w:rPr>
          <w:rFonts w:cstheme="minorHAnsi"/>
          <w:b/>
          <w:sz w:val="24"/>
          <w:szCs w:val="24"/>
        </w:rPr>
        <w:t>aktywa i pasywa</w:t>
      </w:r>
      <w:r w:rsidRPr="00D16F1F">
        <w:rPr>
          <w:rFonts w:cstheme="minorHAnsi"/>
          <w:sz w:val="24"/>
          <w:szCs w:val="24"/>
        </w:rPr>
        <w:t xml:space="preserve"> ogółem w wysokości 15 448 006,46 zł, w tym:</w:t>
      </w:r>
    </w:p>
    <w:p w14:paraId="313EBE54" w14:textId="77777777" w:rsidR="003D774F" w:rsidRPr="00D16F1F" w:rsidRDefault="003D774F" w:rsidP="003D774F">
      <w:pPr>
        <w:pStyle w:val="Akapitzlist"/>
        <w:numPr>
          <w:ilvl w:val="0"/>
          <w:numId w:val="3"/>
        </w:numPr>
        <w:spacing w:after="0" w:line="240" w:lineRule="auto"/>
        <w:ind w:left="993" w:hanging="284"/>
        <w:jc w:val="both"/>
        <w:rPr>
          <w:rFonts w:cstheme="minorHAnsi"/>
          <w:sz w:val="24"/>
          <w:szCs w:val="24"/>
        </w:rPr>
      </w:pPr>
      <w:r w:rsidRPr="00D16F1F">
        <w:rPr>
          <w:rFonts w:cstheme="minorHAnsi"/>
          <w:sz w:val="24"/>
          <w:szCs w:val="24"/>
        </w:rPr>
        <w:t xml:space="preserve">po stronie aktywów – </w:t>
      </w:r>
      <w:r w:rsidRPr="00D16F1F">
        <w:rPr>
          <w:rFonts w:cstheme="minorHAnsi"/>
          <w:b/>
          <w:sz w:val="24"/>
          <w:szCs w:val="24"/>
        </w:rPr>
        <w:t>środki pieniężne</w:t>
      </w:r>
      <w:r w:rsidRPr="00D16F1F">
        <w:rPr>
          <w:rFonts w:cstheme="minorHAnsi"/>
          <w:sz w:val="24"/>
          <w:szCs w:val="24"/>
        </w:rPr>
        <w:t xml:space="preserve"> – 14 991 640,44 zł, </w:t>
      </w:r>
      <w:r w:rsidRPr="00D16F1F">
        <w:rPr>
          <w:rFonts w:cstheme="minorHAnsi"/>
          <w:b/>
          <w:sz w:val="24"/>
          <w:szCs w:val="24"/>
        </w:rPr>
        <w:t xml:space="preserve">należności </w:t>
      </w:r>
      <w:r w:rsidRPr="00D16F1F">
        <w:rPr>
          <w:rFonts w:cstheme="minorHAnsi"/>
          <w:sz w:val="24"/>
          <w:szCs w:val="24"/>
        </w:rPr>
        <w:t xml:space="preserve">– 32 676,31 zł i </w:t>
      </w:r>
      <w:r w:rsidRPr="00D16F1F">
        <w:rPr>
          <w:rFonts w:cstheme="minorHAnsi"/>
          <w:b/>
          <w:sz w:val="24"/>
          <w:szCs w:val="24"/>
        </w:rPr>
        <w:t>rozliczenia międzyokresowe</w:t>
      </w:r>
      <w:r w:rsidRPr="00D16F1F">
        <w:rPr>
          <w:rFonts w:cstheme="minorHAnsi"/>
          <w:sz w:val="24"/>
          <w:szCs w:val="24"/>
        </w:rPr>
        <w:t xml:space="preserve"> – 423 689,71 zł,</w:t>
      </w:r>
    </w:p>
    <w:p w14:paraId="4F186E69" w14:textId="77777777" w:rsidR="003D774F" w:rsidRPr="00D16F1F" w:rsidRDefault="003D774F" w:rsidP="003D774F">
      <w:pPr>
        <w:pStyle w:val="Akapitzlist"/>
        <w:numPr>
          <w:ilvl w:val="0"/>
          <w:numId w:val="3"/>
        </w:numPr>
        <w:spacing w:after="0" w:line="240" w:lineRule="auto"/>
        <w:ind w:left="993" w:hanging="284"/>
        <w:jc w:val="both"/>
        <w:rPr>
          <w:rFonts w:cstheme="minorHAnsi"/>
          <w:sz w:val="24"/>
          <w:szCs w:val="24"/>
        </w:rPr>
      </w:pPr>
      <w:r w:rsidRPr="00D16F1F">
        <w:rPr>
          <w:rFonts w:cstheme="minorHAnsi"/>
          <w:sz w:val="24"/>
          <w:szCs w:val="24"/>
        </w:rPr>
        <w:t xml:space="preserve">po stronie pasywów – </w:t>
      </w:r>
      <w:r w:rsidRPr="00D16F1F">
        <w:rPr>
          <w:rFonts w:cstheme="minorHAnsi"/>
          <w:b/>
          <w:sz w:val="24"/>
          <w:szCs w:val="24"/>
        </w:rPr>
        <w:t>zobowiązania</w:t>
      </w:r>
      <w:r w:rsidRPr="00D16F1F">
        <w:rPr>
          <w:rFonts w:cstheme="minorHAnsi"/>
          <w:sz w:val="24"/>
          <w:szCs w:val="24"/>
        </w:rPr>
        <w:t xml:space="preserve"> – 3 974 512,17 zł, </w:t>
      </w:r>
      <w:r w:rsidRPr="00D16F1F">
        <w:rPr>
          <w:rFonts w:cstheme="minorHAnsi"/>
          <w:b/>
          <w:sz w:val="24"/>
          <w:szCs w:val="24"/>
        </w:rPr>
        <w:t>aktywa netto budżetu</w:t>
      </w:r>
      <w:r w:rsidRPr="00D16F1F">
        <w:rPr>
          <w:rFonts w:cstheme="minorHAnsi"/>
          <w:sz w:val="24"/>
          <w:szCs w:val="24"/>
        </w:rPr>
        <w:t xml:space="preserve"> – 5 848 091,68 zł, </w:t>
      </w:r>
      <w:r w:rsidRPr="00D16F1F">
        <w:rPr>
          <w:rFonts w:cstheme="minorHAnsi"/>
          <w:b/>
          <w:sz w:val="24"/>
          <w:szCs w:val="24"/>
        </w:rPr>
        <w:t>rozliczenia międzyokresowe</w:t>
      </w:r>
      <w:r w:rsidRPr="00D16F1F">
        <w:rPr>
          <w:rFonts w:cstheme="minorHAnsi"/>
          <w:sz w:val="24"/>
          <w:szCs w:val="24"/>
        </w:rPr>
        <w:t xml:space="preserve"> – 5 625 402,61 zł.</w:t>
      </w:r>
    </w:p>
    <w:p w14:paraId="7750A070" w14:textId="77777777" w:rsidR="003D774F" w:rsidRPr="00D16F1F" w:rsidRDefault="003D774F" w:rsidP="003D774F">
      <w:pPr>
        <w:pStyle w:val="Akapitzlist"/>
        <w:spacing w:after="0" w:line="240" w:lineRule="auto"/>
        <w:ind w:left="993"/>
        <w:jc w:val="both"/>
        <w:rPr>
          <w:rFonts w:cstheme="minorHAnsi"/>
          <w:sz w:val="24"/>
          <w:szCs w:val="24"/>
        </w:rPr>
      </w:pPr>
    </w:p>
    <w:p w14:paraId="6B27D0E9" w14:textId="77777777" w:rsidR="003D774F" w:rsidRPr="00D16F1F" w:rsidRDefault="003D774F" w:rsidP="003D774F">
      <w:pPr>
        <w:pStyle w:val="Akapitzlist"/>
        <w:numPr>
          <w:ilvl w:val="0"/>
          <w:numId w:val="2"/>
        </w:numPr>
        <w:spacing w:after="0" w:line="240" w:lineRule="auto"/>
        <w:jc w:val="both"/>
        <w:rPr>
          <w:rFonts w:cstheme="minorHAnsi"/>
          <w:sz w:val="24"/>
          <w:szCs w:val="24"/>
        </w:rPr>
      </w:pPr>
      <w:r w:rsidRPr="00D16F1F">
        <w:rPr>
          <w:rFonts w:cstheme="minorHAnsi"/>
          <w:sz w:val="24"/>
          <w:szCs w:val="24"/>
        </w:rPr>
        <w:t xml:space="preserve">Łączny bilans jednostki budżetowej wskazuje na posiadane przez Gminę Miedźna na koniec roku 2024 </w:t>
      </w:r>
      <w:r w:rsidRPr="00D16F1F">
        <w:rPr>
          <w:rFonts w:cstheme="minorHAnsi"/>
          <w:b/>
          <w:sz w:val="24"/>
          <w:szCs w:val="24"/>
        </w:rPr>
        <w:t>aktywa i pasywa</w:t>
      </w:r>
      <w:r w:rsidRPr="00D16F1F">
        <w:rPr>
          <w:rFonts w:cstheme="minorHAnsi"/>
          <w:sz w:val="24"/>
          <w:szCs w:val="24"/>
        </w:rPr>
        <w:t xml:space="preserve"> na kwotę 176 349 789,67 zł, co oznacza wzrost  w stosunku do roku poprzedniego o kwotę 6 705 424,73 zł.</w:t>
      </w:r>
    </w:p>
    <w:p w14:paraId="71866DF5" w14:textId="77777777" w:rsidR="003D774F" w:rsidRPr="00D16F1F" w:rsidRDefault="003D774F" w:rsidP="003D774F">
      <w:pPr>
        <w:pStyle w:val="Akapitzlist"/>
        <w:spacing w:after="0" w:line="240" w:lineRule="auto"/>
        <w:jc w:val="both"/>
        <w:rPr>
          <w:rFonts w:cstheme="minorHAnsi"/>
          <w:sz w:val="24"/>
          <w:szCs w:val="24"/>
        </w:rPr>
      </w:pPr>
    </w:p>
    <w:p w14:paraId="4D353ED3" w14:textId="77777777" w:rsidR="003D774F" w:rsidRPr="00D16F1F" w:rsidRDefault="003D774F" w:rsidP="003D774F">
      <w:pPr>
        <w:pStyle w:val="Akapitzlist"/>
        <w:numPr>
          <w:ilvl w:val="0"/>
          <w:numId w:val="2"/>
        </w:numPr>
        <w:spacing w:after="0" w:line="240" w:lineRule="auto"/>
        <w:jc w:val="both"/>
        <w:rPr>
          <w:rFonts w:cstheme="minorHAnsi"/>
          <w:sz w:val="24"/>
          <w:szCs w:val="24"/>
        </w:rPr>
      </w:pPr>
      <w:r w:rsidRPr="00D16F1F">
        <w:rPr>
          <w:rFonts w:cstheme="minorHAnsi"/>
          <w:b/>
          <w:sz w:val="24"/>
          <w:szCs w:val="24"/>
        </w:rPr>
        <w:t>Stan funduszu jednostki</w:t>
      </w:r>
      <w:r w:rsidRPr="00D16F1F">
        <w:rPr>
          <w:rFonts w:cstheme="minorHAnsi"/>
          <w:sz w:val="24"/>
          <w:szCs w:val="24"/>
        </w:rPr>
        <w:t>, wskazany w zestawieniu zmian w funduszu wynosi 159 354 334,05 zł.</w:t>
      </w:r>
    </w:p>
    <w:p w14:paraId="0EB7F102" w14:textId="77777777" w:rsidR="003D774F" w:rsidRPr="00D16F1F" w:rsidRDefault="003D774F" w:rsidP="003D774F">
      <w:pPr>
        <w:pStyle w:val="Akapitzlist"/>
        <w:rPr>
          <w:rFonts w:cstheme="minorHAnsi"/>
          <w:sz w:val="24"/>
          <w:szCs w:val="24"/>
        </w:rPr>
      </w:pPr>
    </w:p>
    <w:p w14:paraId="41A590B9" w14:textId="77777777" w:rsidR="003D774F" w:rsidRPr="00D16F1F" w:rsidRDefault="003D774F" w:rsidP="003D774F">
      <w:pPr>
        <w:pStyle w:val="Akapitzlist"/>
        <w:numPr>
          <w:ilvl w:val="0"/>
          <w:numId w:val="2"/>
        </w:numPr>
        <w:spacing w:after="0" w:line="240" w:lineRule="auto"/>
        <w:jc w:val="both"/>
        <w:rPr>
          <w:rFonts w:cstheme="minorHAnsi"/>
          <w:sz w:val="24"/>
          <w:szCs w:val="24"/>
        </w:rPr>
      </w:pPr>
      <w:r w:rsidRPr="00D16F1F">
        <w:rPr>
          <w:rFonts w:cstheme="minorHAnsi"/>
          <w:sz w:val="24"/>
          <w:szCs w:val="24"/>
        </w:rPr>
        <w:t xml:space="preserve">Rachunek zysków i strat jednostki wskazuje </w:t>
      </w:r>
      <w:r w:rsidRPr="00D16F1F">
        <w:rPr>
          <w:rFonts w:cstheme="minorHAnsi"/>
          <w:b/>
          <w:sz w:val="24"/>
          <w:szCs w:val="24"/>
        </w:rPr>
        <w:t>zysk netto</w:t>
      </w:r>
      <w:r w:rsidRPr="00D16F1F">
        <w:rPr>
          <w:rFonts w:cstheme="minorHAnsi"/>
          <w:sz w:val="24"/>
          <w:szCs w:val="24"/>
        </w:rPr>
        <w:t xml:space="preserve"> na dzień 31 grudnia 2024 r. w wysokości  17 395 401,63 zł.</w:t>
      </w:r>
    </w:p>
    <w:p w14:paraId="07ADEF7D" w14:textId="77777777" w:rsidR="003D774F" w:rsidRPr="00D16F1F" w:rsidRDefault="003D774F" w:rsidP="003D774F">
      <w:pPr>
        <w:pStyle w:val="Akapitzlist"/>
        <w:rPr>
          <w:rFonts w:cstheme="minorHAnsi"/>
          <w:sz w:val="24"/>
          <w:szCs w:val="24"/>
        </w:rPr>
      </w:pPr>
    </w:p>
    <w:p w14:paraId="36C93F90" w14:textId="77777777" w:rsidR="003D774F" w:rsidRPr="00D16F1F" w:rsidRDefault="003D774F" w:rsidP="003D774F">
      <w:pPr>
        <w:pStyle w:val="Akapitzlist"/>
        <w:numPr>
          <w:ilvl w:val="0"/>
          <w:numId w:val="2"/>
        </w:numPr>
        <w:spacing w:after="0" w:line="240" w:lineRule="auto"/>
        <w:jc w:val="both"/>
        <w:rPr>
          <w:rFonts w:cstheme="minorHAnsi"/>
          <w:sz w:val="24"/>
          <w:szCs w:val="24"/>
        </w:rPr>
      </w:pPr>
      <w:r w:rsidRPr="00D16F1F">
        <w:rPr>
          <w:rFonts w:cstheme="minorHAnsi"/>
          <w:sz w:val="24"/>
          <w:szCs w:val="24"/>
        </w:rPr>
        <w:t>Informacja o stanie mienia komunalnego nie budzi zastrzeżeń i zawiera wszystkie dane wymagane zgodnie z art. 267 ustawy z dnia 27 sierpnie 2009</w:t>
      </w:r>
      <w:r>
        <w:rPr>
          <w:rFonts w:cstheme="minorHAnsi"/>
          <w:sz w:val="24"/>
          <w:szCs w:val="24"/>
        </w:rPr>
        <w:t xml:space="preserve"> </w:t>
      </w:r>
      <w:r w:rsidRPr="00D16F1F">
        <w:rPr>
          <w:rFonts w:cstheme="minorHAnsi"/>
          <w:sz w:val="24"/>
          <w:szCs w:val="24"/>
        </w:rPr>
        <w:t>r. o finansach publicznych.</w:t>
      </w:r>
    </w:p>
    <w:p w14:paraId="61985725" w14:textId="77777777" w:rsidR="003D774F" w:rsidRPr="00D16F1F" w:rsidRDefault="003D774F" w:rsidP="003D774F">
      <w:pPr>
        <w:pStyle w:val="Akapitzlist"/>
        <w:rPr>
          <w:rFonts w:cstheme="minorHAnsi"/>
          <w:sz w:val="24"/>
          <w:szCs w:val="24"/>
        </w:rPr>
      </w:pPr>
    </w:p>
    <w:p w14:paraId="2C540C7F" w14:textId="77777777" w:rsidR="003D774F" w:rsidRPr="00D16F1F" w:rsidRDefault="003D774F" w:rsidP="003D774F">
      <w:pPr>
        <w:pStyle w:val="Akapitzlist"/>
        <w:numPr>
          <w:ilvl w:val="0"/>
          <w:numId w:val="2"/>
        </w:numPr>
        <w:spacing w:after="0" w:line="240" w:lineRule="auto"/>
        <w:jc w:val="both"/>
        <w:rPr>
          <w:rFonts w:cstheme="minorHAnsi"/>
          <w:sz w:val="24"/>
          <w:szCs w:val="24"/>
        </w:rPr>
      </w:pPr>
      <w:r w:rsidRPr="00D16F1F">
        <w:rPr>
          <w:rFonts w:cstheme="minorHAnsi"/>
          <w:sz w:val="24"/>
          <w:szCs w:val="24"/>
        </w:rPr>
        <w:t>Komisja Rewizyjna, w ramach swoich posiedzeń przeprowadziła kontrolę wybranych obszarów działalności Gminy, obejmującą w szczególności:</w:t>
      </w:r>
    </w:p>
    <w:p w14:paraId="2F7026C0" w14:textId="77777777" w:rsidR="003D774F" w:rsidRPr="00D16F1F" w:rsidRDefault="003D774F" w:rsidP="003D774F">
      <w:pPr>
        <w:pStyle w:val="Akapitzlist"/>
        <w:numPr>
          <w:ilvl w:val="0"/>
          <w:numId w:val="6"/>
        </w:numPr>
        <w:spacing w:after="0" w:line="240" w:lineRule="auto"/>
        <w:ind w:left="993" w:hanging="284"/>
        <w:jc w:val="both"/>
        <w:rPr>
          <w:rFonts w:cstheme="minorHAnsi"/>
          <w:sz w:val="24"/>
          <w:szCs w:val="24"/>
        </w:rPr>
      </w:pPr>
      <w:r w:rsidRPr="00D16F1F">
        <w:rPr>
          <w:rFonts w:eastAsia="Times New Roman" w:cstheme="minorHAnsi"/>
          <w:sz w:val="24"/>
          <w:szCs w:val="24"/>
        </w:rPr>
        <w:t>realizację uchwał podjętych przez Radę Gminy - brak uwag,</w:t>
      </w:r>
    </w:p>
    <w:p w14:paraId="7C8B5994" w14:textId="77777777" w:rsidR="003D774F" w:rsidRPr="00D16F1F" w:rsidRDefault="003D774F" w:rsidP="003D774F">
      <w:pPr>
        <w:pStyle w:val="Akapitzlist"/>
        <w:numPr>
          <w:ilvl w:val="0"/>
          <w:numId w:val="6"/>
        </w:numPr>
        <w:spacing w:after="0" w:line="240" w:lineRule="auto"/>
        <w:ind w:left="993" w:hanging="284"/>
        <w:jc w:val="both"/>
        <w:rPr>
          <w:rFonts w:cstheme="minorHAnsi"/>
          <w:sz w:val="24"/>
          <w:szCs w:val="24"/>
        </w:rPr>
      </w:pPr>
      <w:r w:rsidRPr="00D16F1F">
        <w:rPr>
          <w:rFonts w:eastAsia="Times New Roman" w:cstheme="minorHAnsi"/>
          <w:sz w:val="24"/>
          <w:szCs w:val="24"/>
        </w:rPr>
        <w:t>wydatkowanie środków w ramach działu „Rada Gminy” – brak uwag,</w:t>
      </w:r>
    </w:p>
    <w:p w14:paraId="08F88E10" w14:textId="77777777" w:rsidR="003D774F" w:rsidRPr="00D16F1F" w:rsidRDefault="003D774F" w:rsidP="003D774F">
      <w:pPr>
        <w:pStyle w:val="Akapitzlist"/>
        <w:numPr>
          <w:ilvl w:val="0"/>
          <w:numId w:val="6"/>
        </w:numPr>
        <w:spacing w:after="0" w:line="240" w:lineRule="auto"/>
        <w:ind w:left="993" w:hanging="284"/>
        <w:jc w:val="both"/>
        <w:rPr>
          <w:rFonts w:cstheme="minorHAnsi"/>
          <w:sz w:val="24"/>
          <w:szCs w:val="24"/>
        </w:rPr>
      </w:pPr>
      <w:r w:rsidRPr="00D16F1F">
        <w:rPr>
          <w:rFonts w:eastAsia="Times New Roman" w:cstheme="minorHAnsi"/>
          <w:sz w:val="24"/>
          <w:szCs w:val="24"/>
        </w:rPr>
        <w:t>realizację wniosków kierowanych do Wójta Gminy z sesji, komisji oraz zebrań wiejskich,</w:t>
      </w:r>
    </w:p>
    <w:p w14:paraId="426EA2B3" w14:textId="77777777" w:rsidR="003D774F" w:rsidRPr="00D16F1F" w:rsidRDefault="003D774F" w:rsidP="003D774F">
      <w:pPr>
        <w:pStyle w:val="Akapitzlist"/>
        <w:numPr>
          <w:ilvl w:val="0"/>
          <w:numId w:val="6"/>
        </w:numPr>
        <w:spacing w:after="0" w:line="240" w:lineRule="auto"/>
        <w:ind w:left="993" w:hanging="284"/>
        <w:jc w:val="both"/>
        <w:rPr>
          <w:rFonts w:cstheme="minorHAnsi"/>
          <w:sz w:val="24"/>
          <w:szCs w:val="24"/>
        </w:rPr>
      </w:pPr>
      <w:r w:rsidRPr="00D16F1F">
        <w:rPr>
          <w:rFonts w:eastAsia="Times New Roman" w:cstheme="minorHAnsi"/>
          <w:sz w:val="24"/>
          <w:szCs w:val="24"/>
        </w:rPr>
        <w:t>wykorzystanie dotacji dla Caritas Archidiecezji Katowickiej- Środowiskowy Dom Samopomocy w Grzawie – brak uwag,</w:t>
      </w:r>
    </w:p>
    <w:p w14:paraId="29649148" w14:textId="77777777" w:rsidR="003D774F" w:rsidRPr="00D16F1F" w:rsidRDefault="003D774F" w:rsidP="003D774F">
      <w:pPr>
        <w:pStyle w:val="Akapitzlist"/>
        <w:numPr>
          <w:ilvl w:val="0"/>
          <w:numId w:val="6"/>
        </w:numPr>
        <w:spacing w:after="0" w:line="240" w:lineRule="auto"/>
        <w:ind w:left="993" w:hanging="284"/>
        <w:jc w:val="both"/>
        <w:rPr>
          <w:rFonts w:cstheme="minorHAnsi"/>
          <w:sz w:val="24"/>
          <w:szCs w:val="24"/>
        </w:rPr>
      </w:pPr>
      <w:r w:rsidRPr="00D16F1F">
        <w:rPr>
          <w:rFonts w:eastAsia="Times New Roman" w:cstheme="minorHAnsi"/>
          <w:sz w:val="24"/>
          <w:szCs w:val="24"/>
        </w:rPr>
        <w:t>gospodarkę odpadami komunalnymi– brak uwag.</w:t>
      </w:r>
    </w:p>
    <w:p w14:paraId="12265259" w14:textId="77777777" w:rsidR="003D774F" w:rsidRPr="00D16F1F" w:rsidRDefault="003D774F" w:rsidP="003D774F">
      <w:pPr>
        <w:spacing w:after="0" w:line="240" w:lineRule="auto"/>
        <w:rPr>
          <w:rFonts w:eastAsia="Times New Roman" w:cstheme="minorHAnsi"/>
          <w:sz w:val="24"/>
          <w:szCs w:val="24"/>
        </w:rPr>
      </w:pPr>
    </w:p>
    <w:p w14:paraId="6331D5FB" w14:textId="77777777" w:rsidR="003D774F" w:rsidRPr="00D16F1F" w:rsidRDefault="003D774F" w:rsidP="003D774F">
      <w:pPr>
        <w:spacing w:after="0" w:line="240" w:lineRule="auto"/>
        <w:jc w:val="both"/>
        <w:rPr>
          <w:rFonts w:cstheme="minorHAnsi"/>
          <w:sz w:val="24"/>
          <w:szCs w:val="24"/>
        </w:rPr>
      </w:pPr>
      <w:r w:rsidRPr="00D16F1F">
        <w:rPr>
          <w:rFonts w:cstheme="minorHAnsi"/>
          <w:sz w:val="24"/>
          <w:szCs w:val="24"/>
        </w:rPr>
        <w:t>W związku z przeprowadzoną analizą i brakiem zastrzeżeń, Komisja Rewizyjna wnioskuje o udzielenie absolutorium Wójtowi Gminy Miedźna za rok 2024.</w:t>
      </w:r>
    </w:p>
    <w:p w14:paraId="09EADA20" w14:textId="77777777" w:rsidR="003D774F" w:rsidRPr="00D16F1F" w:rsidRDefault="003D774F" w:rsidP="003D774F">
      <w:pPr>
        <w:spacing w:after="0" w:line="240" w:lineRule="auto"/>
        <w:jc w:val="both"/>
        <w:rPr>
          <w:rFonts w:cstheme="minorHAnsi"/>
          <w:sz w:val="24"/>
          <w:szCs w:val="24"/>
        </w:rPr>
      </w:pPr>
    </w:p>
    <w:p w14:paraId="11BEAC3C" w14:textId="11E2BEBF" w:rsidR="003D774F" w:rsidRPr="00D16F1F" w:rsidRDefault="003D774F" w:rsidP="003D774F">
      <w:pPr>
        <w:spacing w:after="0" w:line="240" w:lineRule="auto"/>
        <w:jc w:val="both"/>
        <w:rPr>
          <w:rFonts w:cstheme="minorHAnsi"/>
          <w:sz w:val="24"/>
          <w:szCs w:val="24"/>
        </w:rPr>
      </w:pPr>
      <w:r w:rsidRPr="00D16F1F">
        <w:rPr>
          <w:rFonts w:cstheme="minorHAnsi"/>
          <w:sz w:val="24"/>
          <w:szCs w:val="24"/>
        </w:rPr>
        <w:lastRenderedPageBreak/>
        <w:t xml:space="preserve">Wniosek wraz z opinią został przyjęty w głosowaniu jawnym, w którym brało udział </w:t>
      </w:r>
      <w:r w:rsidR="00EE416D">
        <w:rPr>
          <w:rFonts w:cstheme="minorHAnsi"/>
          <w:sz w:val="24"/>
          <w:szCs w:val="24"/>
        </w:rPr>
        <w:t>5</w:t>
      </w:r>
      <w:r w:rsidRPr="00D16F1F">
        <w:rPr>
          <w:rFonts w:cstheme="minorHAnsi"/>
          <w:sz w:val="24"/>
          <w:szCs w:val="24"/>
        </w:rPr>
        <w:t xml:space="preserve"> członków Komisji Rewizyjnej przy</w:t>
      </w:r>
      <w:r w:rsidR="00EE416D">
        <w:rPr>
          <w:rFonts w:cstheme="minorHAnsi"/>
          <w:sz w:val="24"/>
          <w:szCs w:val="24"/>
        </w:rPr>
        <w:t xml:space="preserve"> 100</w:t>
      </w:r>
      <w:r w:rsidRPr="00D16F1F">
        <w:rPr>
          <w:rFonts w:cstheme="minorHAnsi"/>
          <w:sz w:val="24"/>
          <w:szCs w:val="24"/>
        </w:rPr>
        <w:t xml:space="preserve"> % składzie, głosujących </w:t>
      </w:r>
      <w:r w:rsidR="00EE416D">
        <w:rPr>
          <w:rFonts w:cstheme="minorHAnsi"/>
          <w:sz w:val="24"/>
          <w:szCs w:val="24"/>
        </w:rPr>
        <w:t>5</w:t>
      </w:r>
      <w:r w:rsidRPr="00D16F1F">
        <w:rPr>
          <w:rFonts w:cstheme="minorHAnsi"/>
          <w:sz w:val="24"/>
          <w:szCs w:val="24"/>
        </w:rPr>
        <w:t xml:space="preserve"> „za”, </w:t>
      </w:r>
      <w:r w:rsidR="00EE416D">
        <w:rPr>
          <w:rFonts w:cstheme="minorHAnsi"/>
          <w:sz w:val="24"/>
          <w:szCs w:val="24"/>
        </w:rPr>
        <w:t>0</w:t>
      </w:r>
      <w:r w:rsidRPr="00D16F1F">
        <w:rPr>
          <w:rFonts w:cstheme="minorHAnsi"/>
          <w:sz w:val="24"/>
          <w:szCs w:val="24"/>
        </w:rPr>
        <w:t xml:space="preserve"> głosów „przeciw”, </w:t>
      </w:r>
      <w:r w:rsidR="00EE416D">
        <w:rPr>
          <w:rFonts w:cstheme="minorHAnsi"/>
          <w:sz w:val="24"/>
          <w:szCs w:val="24"/>
        </w:rPr>
        <w:t>0</w:t>
      </w:r>
      <w:r w:rsidRPr="00D16F1F">
        <w:rPr>
          <w:rFonts w:cstheme="minorHAnsi"/>
          <w:sz w:val="24"/>
          <w:szCs w:val="24"/>
        </w:rPr>
        <w:t xml:space="preserve"> głosów wstrzymujących się”.</w:t>
      </w:r>
    </w:p>
    <w:p w14:paraId="5AE22C86" w14:textId="77777777" w:rsidR="003D774F" w:rsidRPr="00D16F1F" w:rsidRDefault="003D774F" w:rsidP="003D774F">
      <w:pPr>
        <w:spacing w:after="0" w:line="240" w:lineRule="auto"/>
        <w:jc w:val="both"/>
        <w:rPr>
          <w:rFonts w:cstheme="minorHAnsi"/>
          <w:sz w:val="24"/>
          <w:szCs w:val="24"/>
        </w:rPr>
      </w:pPr>
    </w:p>
    <w:p w14:paraId="31D2E965" w14:textId="77777777" w:rsidR="003D774F" w:rsidRPr="00D16F1F" w:rsidRDefault="003D774F" w:rsidP="003D774F">
      <w:pPr>
        <w:spacing w:after="0" w:line="240" w:lineRule="auto"/>
        <w:jc w:val="both"/>
        <w:rPr>
          <w:rFonts w:cstheme="minorHAnsi"/>
          <w:sz w:val="24"/>
          <w:szCs w:val="24"/>
        </w:rPr>
      </w:pPr>
      <w:r w:rsidRPr="00D16F1F">
        <w:rPr>
          <w:rFonts w:cstheme="minorHAnsi"/>
          <w:sz w:val="24"/>
          <w:szCs w:val="24"/>
        </w:rPr>
        <w:t>Podpisy członków komisji:</w:t>
      </w:r>
    </w:p>
    <w:p w14:paraId="0350A3EF" w14:textId="77777777" w:rsidR="003D774F" w:rsidRPr="00D16F1F" w:rsidRDefault="003D774F" w:rsidP="003D774F">
      <w:pPr>
        <w:tabs>
          <w:tab w:val="left" w:pos="4536"/>
        </w:tabs>
        <w:spacing w:after="0" w:line="240" w:lineRule="auto"/>
        <w:jc w:val="both"/>
        <w:rPr>
          <w:rFonts w:cstheme="minorHAnsi"/>
          <w:sz w:val="24"/>
          <w:szCs w:val="24"/>
        </w:rPr>
      </w:pPr>
      <w:r>
        <w:rPr>
          <w:rFonts w:cstheme="minorHAnsi"/>
          <w:sz w:val="24"/>
          <w:szCs w:val="24"/>
        </w:rPr>
        <w:t>Faruga Damian – p</w:t>
      </w:r>
      <w:r w:rsidRPr="00D16F1F">
        <w:rPr>
          <w:rFonts w:cstheme="minorHAnsi"/>
          <w:sz w:val="24"/>
          <w:szCs w:val="24"/>
        </w:rPr>
        <w:t>rzewodniczący</w:t>
      </w:r>
      <w:r>
        <w:rPr>
          <w:rFonts w:cstheme="minorHAnsi"/>
          <w:sz w:val="24"/>
          <w:szCs w:val="24"/>
        </w:rPr>
        <w:t xml:space="preserve"> K</w:t>
      </w:r>
      <w:r w:rsidRPr="00D16F1F">
        <w:rPr>
          <w:rFonts w:cstheme="minorHAnsi"/>
          <w:sz w:val="24"/>
          <w:szCs w:val="24"/>
        </w:rPr>
        <w:t>omisji</w:t>
      </w:r>
      <w:r w:rsidRPr="00D16F1F">
        <w:rPr>
          <w:rFonts w:cstheme="minorHAnsi"/>
          <w:sz w:val="24"/>
          <w:szCs w:val="24"/>
        </w:rPr>
        <w:tab/>
        <w:t>……………………………………………………</w:t>
      </w:r>
    </w:p>
    <w:p w14:paraId="47ADABF1" w14:textId="77777777" w:rsidR="003D774F" w:rsidRPr="00D16F1F" w:rsidRDefault="003D774F" w:rsidP="003D774F">
      <w:pPr>
        <w:tabs>
          <w:tab w:val="left" w:pos="4536"/>
        </w:tabs>
        <w:spacing w:after="0" w:line="240" w:lineRule="auto"/>
        <w:jc w:val="both"/>
        <w:rPr>
          <w:rFonts w:cstheme="minorHAnsi"/>
          <w:sz w:val="24"/>
          <w:szCs w:val="24"/>
        </w:rPr>
      </w:pPr>
      <w:proofErr w:type="spellStart"/>
      <w:r w:rsidRPr="00D16F1F">
        <w:rPr>
          <w:rFonts w:cstheme="minorHAnsi"/>
          <w:sz w:val="24"/>
          <w:szCs w:val="24"/>
        </w:rPr>
        <w:t>Ilga</w:t>
      </w:r>
      <w:proofErr w:type="spellEnd"/>
      <w:r w:rsidRPr="00D16F1F">
        <w:rPr>
          <w:rFonts w:cstheme="minorHAnsi"/>
          <w:sz w:val="24"/>
          <w:szCs w:val="24"/>
        </w:rPr>
        <w:t xml:space="preserve"> Marzena</w:t>
      </w:r>
      <w:r>
        <w:rPr>
          <w:rFonts w:cstheme="minorHAnsi"/>
          <w:sz w:val="24"/>
          <w:szCs w:val="24"/>
        </w:rPr>
        <w:t xml:space="preserve"> – członek K</w:t>
      </w:r>
      <w:r w:rsidRPr="00D16F1F">
        <w:rPr>
          <w:rFonts w:cstheme="minorHAnsi"/>
          <w:sz w:val="24"/>
          <w:szCs w:val="24"/>
        </w:rPr>
        <w:t>omisji</w:t>
      </w:r>
      <w:r w:rsidRPr="00D16F1F">
        <w:rPr>
          <w:rFonts w:cstheme="minorHAnsi"/>
          <w:sz w:val="24"/>
          <w:szCs w:val="24"/>
        </w:rPr>
        <w:tab/>
        <w:t>……………………………………………………</w:t>
      </w:r>
    </w:p>
    <w:p w14:paraId="6CAA0528" w14:textId="77777777" w:rsidR="003D774F" w:rsidRPr="00D16F1F" w:rsidRDefault="003D774F" w:rsidP="003D774F">
      <w:pPr>
        <w:tabs>
          <w:tab w:val="left" w:pos="4536"/>
          <w:tab w:val="left" w:pos="6804"/>
          <w:tab w:val="left" w:pos="7088"/>
          <w:tab w:val="left" w:pos="7230"/>
        </w:tabs>
        <w:spacing w:after="0" w:line="240" w:lineRule="auto"/>
        <w:jc w:val="both"/>
        <w:rPr>
          <w:rFonts w:cstheme="minorHAnsi"/>
          <w:sz w:val="24"/>
          <w:szCs w:val="24"/>
        </w:rPr>
      </w:pPr>
      <w:r w:rsidRPr="00D16F1F">
        <w:rPr>
          <w:rFonts w:cstheme="minorHAnsi"/>
          <w:sz w:val="24"/>
          <w:szCs w:val="24"/>
        </w:rPr>
        <w:t>Kapica Marcin</w:t>
      </w:r>
      <w:r>
        <w:rPr>
          <w:rFonts w:cstheme="minorHAnsi"/>
          <w:sz w:val="24"/>
          <w:szCs w:val="24"/>
        </w:rPr>
        <w:t xml:space="preserve"> – członek K</w:t>
      </w:r>
      <w:r w:rsidRPr="00D16F1F">
        <w:rPr>
          <w:rFonts w:cstheme="minorHAnsi"/>
          <w:sz w:val="24"/>
          <w:szCs w:val="24"/>
        </w:rPr>
        <w:t>omisji</w:t>
      </w:r>
      <w:r w:rsidRPr="00D16F1F">
        <w:rPr>
          <w:rFonts w:cstheme="minorHAnsi"/>
          <w:sz w:val="24"/>
          <w:szCs w:val="24"/>
        </w:rPr>
        <w:tab/>
        <w:t>……………………………………………………</w:t>
      </w:r>
    </w:p>
    <w:p w14:paraId="5194C0BF" w14:textId="77777777" w:rsidR="003D774F" w:rsidRPr="00D16F1F" w:rsidRDefault="003D774F" w:rsidP="003D774F">
      <w:pPr>
        <w:tabs>
          <w:tab w:val="left" w:pos="4536"/>
        </w:tabs>
        <w:spacing w:after="0" w:line="240" w:lineRule="auto"/>
        <w:jc w:val="both"/>
        <w:rPr>
          <w:rFonts w:cstheme="minorHAnsi"/>
          <w:sz w:val="24"/>
          <w:szCs w:val="24"/>
        </w:rPr>
      </w:pPr>
      <w:r w:rsidRPr="00D16F1F">
        <w:rPr>
          <w:rFonts w:cstheme="minorHAnsi"/>
          <w:sz w:val="24"/>
          <w:szCs w:val="24"/>
        </w:rPr>
        <w:t>Lichy Henryk</w:t>
      </w:r>
      <w:r>
        <w:rPr>
          <w:rFonts w:cstheme="minorHAnsi"/>
          <w:sz w:val="24"/>
          <w:szCs w:val="24"/>
        </w:rPr>
        <w:t xml:space="preserve"> – członek K</w:t>
      </w:r>
      <w:r w:rsidRPr="00D16F1F">
        <w:rPr>
          <w:rFonts w:cstheme="minorHAnsi"/>
          <w:sz w:val="24"/>
          <w:szCs w:val="24"/>
        </w:rPr>
        <w:t>omisji</w:t>
      </w:r>
      <w:r w:rsidRPr="00D16F1F">
        <w:rPr>
          <w:rFonts w:cstheme="minorHAnsi"/>
          <w:sz w:val="24"/>
          <w:szCs w:val="24"/>
        </w:rPr>
        <w:tab/>
        <w:t>……………………………………………………</w:t>
      </w:r>
    </w:p>
    <w:p w14:paraId="52B34AE8" w14:textId="77777777" w:rsidR="003D774F" w:rsidRPr="00D16F1F" w:rsidRDefault="003D774F" w:rsidP="003D774F">
      <w:pPr>
        <w:tabs>
          <w:tab w:val="left" w:pos="4536"/>
        </w:tabs>
        <w:spacing w:after="0" w:line="240" w:lineRule="auto"/>
        <w:jc w:val="both"/>
        <w:rPr>
          <w:rFonts w:cstheme="minorHAnsi"/>
          <w:sz w:val="24"/>
          <w:szCs w:val="24"/>
        </w:rPr>
      </w:pPr>
      <w:proofErr w:type="spellStart"/>
      <w:r w:rsidRPr="00D16F1F">
        <w:rPr>
          <w:rFonts w:cstheme="minorHAnsi"/>
          <w:sz w:val="24"/>
          <w:szCs w:val="24"/>
        </w:rPr>
        <w:t>Nelec</w:t>
      </w:r>
      <w:proofErr w:type="spellEnd"/>
      <w:r w:rsidRPr="00D16F1F">
        <w:rPr>
          <w:rFonts w:cstheme="minorHAnsi"/>
          <w:sz w:val="24"/>
          <w:szCs w:val="24"/>
        </w:rPr>
        <w:t xml:space="preserve"> Andrzej – członek Komisji</w:t>
      </w:r>
      <w:r w:rsidRPr="00D16F1F">
        <w:rPr>
          <w:rFonts w:cstheme="minorHAnsi"/>
          <w:sz w:val="24"/>
          <w:szCs w:val="24"/>
        </w:rPr>
        <w:tab/>
        <w:t>……………………………………………………</w:t>
      </w:r>
    </w:p>
    <w:p w14:paraId="434D9939" w14:textId="77777777" w:rsidR="003D774F" w:rsidRPr="00D16F1F" w:rsidRDefault="003D774F" w:rsidP="003D774F">
      <w:pPr>
        <w:spacing w:after="0" w:line="240" w:lineRule="auto"/>
        <w:jc w:val="both"/>
        <w:rPr>
          <w:rFonts w:cstheme="minorHAnsi"/>
          <w:sz w:val="24"/>
          <w:szCs w:val="24"/>
        </w:rPr>
      </w:pPr>
    </w:p>
    <w:p w14:paraId="12FBEB9D" w14:textId="77777777" w:rsidR="001C2BF4" w:rsidRDefault="001C2BF4"/>
    <w:sectPr w:rsidR="001C2BF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B566D4"/>
    <w:multiLevelType w:val="hybridMultilevel"/>
    <w:tmpl w:val="45182DCE"/>
    <w:lvl w:ilvl="0" w:tplc="04150001">
      <w:start w:val="1"/>
      <w:numFmt w:val="bullet"/>
      <w:lvlText w:val=""/>
      <w:lvlJc w:val="left"/>
      <w:pPr>
        <w:ind w:left="1146" w:hanging="360"/>
      </w:pPr>
      <w:rPr>
        <w:rFonts w:ascii="Symbol" w:hAnsi="Symbol" w:hint="default"/>
      </w:rPr>
    </w:lvl>
    <w:lvl w:ilvl="1" w:tplc="04150003" w:tentative="1">
      <w:start w:val="1"/>
      <w:numFmt w:val="bullet"/>
      <w:lvlText w:val="o"/>
      <w:lvlJc w:val="left"/>
      <w:pPr>
        <w:ind w:left="1866" w:hanging="360"/>
      </w:pPr>
      <w:rPr>
        <w:rFonts w:ascii="Courier New" w:hAnsi="Courier New" w:cs="Courier New" w:hint="default"/>
      </w:rPr>
    </w:lvl>
    <w:lvl w:ilvl="2" w:tplc="04150005" w:tentative="1">
      <w:start w:val="1"/>
      <w:numFmt w:val="bullet"/>
      <w:lvlText w:val=""/>
      <w:lvlJc w:val="left"/>
      <w:pPr>
        <w:ind w:left="2586" w:hanging="360"/>
      </w:pPr>
      <w:rPr>
        <w:rFonts w:ascii="Wingdings" w:hAnsi="Wingdings" w:hint="default"/>
      </w:rPr>
    </w:lvl>
    <w:lvl w:ilvl="3" w:tplc="04150001" w:tentative="1">
      <w:start w:val="1"/>
      <w:numFmt w:val="bullet"/>
      <w:lvlText w:val=""/>
      <w:lvlJc w:val="left"/>
      <w:pPr>
        <w:ind w:left="3306" w:hanging="360"/>
      </w:pPr>
      <w:rPr>
        <w:rFonts w:ascii="Symbol" w:hAnsi="Symbol" w:hint="default"/>
      </w:rPr>
    </w:lvl>
    <w:lvl w:ilvl="4" w:tplc="04150003" w:tentative="1">
      <w:start w:val="1"/>
      <w:numFmt w:val="bullet"/>
      <w:lvlText w:val="o"/>
      <w:lvlJc w:val="left"/>
      <w:pPr>
        <w:ind w:left="4026" w:hanging="360"/>
      </w:pPr>
      <w:rPr>
        <w:rFonts w:ascii="Courier New" w:hAnsi="Courier New" w:cs="Courier New" w:hint="default"/>
      </w:rPr>
    </w:lvl>
    <w:lvl w:ilvl="5" w:tplc="04150005" w:tentative="1">
      <w:start w:val="1"/>
      <w:numFmt w:val="bullet"/>
      <w:lvlText w:val=""/>
      <w:lvlJc w:val="left"/>
      <w:pPr>
        <w:ind w:left="4746" w:hanging="360"/>
      </w:pPr>
      <w:rPr>
        <w:rFonts w:ascii="Wingdings" w:hAnsi="Wingdings" w:hint="default"/>
      </w:rPr>
    </w:lvl>
    <w:lvl w:ilvl="6" w:tplc="04150001" w:tentative="1">
      <w:start w:val="1"/>
      <w:numFmt w:val="bullet"/>
      <w:lvlText w:val=""/>
      <w:lvlJc w:val="left"/>
      <w:pPr>
        <w:ind w:left="5466" w:hanging="360"/>
      </w:pPr>
      <w:rPr>
        <w:rFonts w:ascii="Symbol" w:hAnsi="Symbol" w:hint="default"/>
      </w:rPr>
    </w:lvl>
    <w:lvl w:ilvl="7" w:tplc="04150003" w:tentative="1">
      <w:start w:val="1"/>
      <w:numFmt w:val="bullet"/>
      <w:lvlText w:val="o"/>
      <w:lvlJc w:val="left"/>
      <w:pPr>
        <w:ind w:left="6186" w:hanging="360"/>
      </w:pPr>
      <w:rPr>
        <w:rFonts w:ascii="Courier New" w:hAnsi="Courier New" w:cs="Courier New" w:hint="default"/>
      </w:rPr>
    </w:lvl>
    <w:lvl w:ilvl="8" w:tplc="04150005" w:tentative="1">
      <w:start w:val="1"/>
      <w:numFmt w:val="bullet"/>
      <w:lvlText w:val=""/>
      <w:lvlJc w:val="left"/>
      <w:pPr>
        <w:ind w:left="6906" w:hanging="360"/>
      </w:pPr>
      <w:rPr>
        <w:rFonts w:ascii="Wingdings" w:hAnsi="Wingdings" w:hint="default"/>
      </w:rPr>
    </w:lvl>
  </w:abstractNum>
  <w:abstractNum w:abstractNumId="1" w15:restartNumberingAfterBreak="0">
    <w:nsid w:val="16173046"/>
    <w:multiLevelType w:val="hybridMultilevel"/>
    <w:tmpl w:val="5928B3BA"/>
    <w:lvl w:ilvl="0" w:tplc="971E087C">
      <w:start w:val="1"/>
      <w:numFmt w:val="decimal"/>
      <w:lvlText w:val="%1."/>
      <w:lvlJc w:val="left"/>
      <w:pPr>
        <w:ind w:left="720" w:hanging="360"/>
      </w:pPr>
      <w:rPr>
        <w:rFonts w:ascii="Times New Roman" w:eastAsiaTheme="minorHAnsi" w:hAnsi="Times New Roman" w:cs="Times New Roman"/>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19FC1713"/>
    <w:multiLevelType w:val="hybridMultilevel"/>
    <w:tmpl w:val="ACBAE172"/>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3" w15:restartNumberingAfterBreak="0">
    <w:nsid w:val="4242255F"/>
    <w:multiLevelType w:val="hybridMultilevel"/>
    <w:tmpl w:val="C95685D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4" w15:restartNumberingAfterBreak="0">
    <w:nsid w:val="56D72C06"/>
    <w:multiLevelType w:val="hybridMultilevel"/>
    <w:tmpl w:val="1FF2000C"/>
    <w:lvl w:ilvl="0" w:tplc="04150001">
      <w:start w:val="1"/>
      <w:numFmt w:val="bullet"/>
      <w:lvlText w:val=""/>
      <w:lvlJc w:val="left"/>
      <w:pPr>
        <w:ind w:left="1712" w:hanging="360"/>
      </w:pPr>
      <w:rPr>
        <w:rFonts w:ascii="Symbol" w:hAnsi="Symbol" w:hint="default"/>
      </w:rPr>
    </w:lvl>
    <w:lvl w:ilvl="1" w:tplc="04150003" w:tentative="1">
      <w:start w:val="1"/>
      <w:numFmt w:val="bullet"/>
      <w:lvlText w:val="o"/>
      <w:lvlJc w:val="left"/>
      <w:pPr>
        <w:ind w:left="2432" w:hanging="360"/>
      </w:pPr>
      <w:rPr>
        <w:rFonts w:ascii="Courier New" w:hAnsi="Courier New" w:cs="Courier New" w:hint="default"/>
      </w:rPr>
    </w:lvl>
    <w:lvl w:ilvl="2" w:tplc="04150005" w:tentative="1">
      <w:start w:val="1"/>
      <w:numFmt w:val="bullet"/>
      <w:lvlText w:val=""/>
      <w:lvlJc w:val="left"/>
      <w:pPr>
        <w:ind w:left="3152" w:hanging="360"/>
      </w:pPr>
      <w:rPr>
        <w:rFonts w:ascii="Wingdings" w:hAnsi="Wingdings" w:hint="default"/>
      </w:rPr>
    </w:lvl>
    <w:lvl w:ilvl="3" w:tplc="04150001" w:tentative="1">
      <w:start w:val="1"/>
      <w:numFmt w:val="bullet"/>
      <w:lvlText w:val=""/>
      <w:lvlJc w:val="left"/>
      <w:pPr>
        <w:ind w:left="3872" w:hanging="360"/>
      </w:pPr>
      <w:rPr>
        <w:rFonts w:ascii="Symbol" w:hAnsi="Symbol" w:hint="default"/>
      </w:rPr>
    </w:lvl>
    <w:lvl w:ilvl="4" w:tplc="04150003" w:tentative="1">
      <w:start w:val="1"/>
      <w:numFmt w:val="bullet"/>
      <w:lvlText w:val="o"/>
      <w:lvlJc w:val="left"/>
      <w:pPr>
        <w:ind w:left="4592" w:hanging="360"/>
      </w:pPr>
      <w:rPr>
        <w:rFonts w:ascii="Courier New" w:hAnsi="Courier New" w:cs="Courier New" w:hint="default"/>
      </w:rPr>
    </w:lvl>
    <w:lvl w:ilvl="5" w:tplc="04150005" w:tentative="1">
      <w:start w:val="1"/>
      <w:numFmt w:val="bullet"/>
      <w:lvlText w:val=""/>
      <w:lvlJc w:val="left"/>
      <w:pPr>
        <w:ind w:left="5312" w:hanging="360"/>
      </w:pPr>
      <w:rPr>
        <w:rFonts w:ascii="Wingdings" w:hAnsi="Wingdings" w:hint="default"/>
      </w:rPr>
    </w:lvl>
    <w:lvl w:ilvl="6" w:tplc="04150001" w:tentative="1">
      <w:start w:val="1"/>
      <w:numFmt w:val="bullet"/>
      <w:lvlText w:val=""/>
      <w:lvlJc w:val="left"/>
      <w:pPr>
        <w:ind w:left="6032" w:hanging="360"/>
      </w:pPr>
      <w:rPr>
        <w:rFonts w:ascii="Symbol" w:hAnsi="Symbol" w:hint="default"/>
      </w:rPr>
    </w:lvl>
    <w:lvl w:ilvl="7" w:tplc="04150003" w:tentative="1">
      <w:start w:val="1"/>
      <w:numFmt w:val="bullet"/>
      <w:lvlText w:val="o"/>
      <w:lvlJc w:val="left"/>
      <w:pPr>
        <w:ind w:left="6752" w:hanging="360"/>
      </w:pPr>
      <w:rPr>
        <w:rFonts w:ascii="Courier New" w:hAnsi="Courier New" w:cs="Courier New" w:hint="default"/>
      </w:rPr>
    </w:lvl>
    <w:lvl w:ilvl="8" w:tplc="04150005" w:tentative="1">
      <w:start w:val="1"/>
      <w:numFmt w:val="bullet"/>
      <w:lvlText w:val=""/>
      <w:lvlJc w:val="left"/>
      <w:pPr>
        <w:ind w:left="7472" w:hanging="360"/>
      </w:pPr>
      <w:rPr>
        <w:rFonts w:ascii="Wingdings" w:hAnsi="Wingdings" w:hint="default"/>
      </w:rPr>
    </w:lvl>
  </w:abstractNum>
  <w:abstractNum w:abstractNumId="5" w15:restartNumberingAfterBreak="0">
    <w:nsid w:val="5DE279EA"/>
    <w:multiLevelType w:val="hybridMultilevel"/>
    <w:tmpl w:val="B75495B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6" w15:restartNumberingAfterBreak="0">
    <w:nsid w:val="62BE6C69"/>
    <w:multiLevelType w:val="hybridMultilevel"/>
    <w:tmpl w:val="702A62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4EB5E8A"/>
    <w:multiLevelType w:val="hybridMultilevel"/>
    <w:tmpl w:val="44525428"/>
    <w:lvl w:ilvl="0" w:tplc="04150001">
      <w:start w:val="1"/>
      <w:numFmt w:val="bullet"/>
      <w:lvlText w:val=""/>
      <w:lvlJc w:val="left"/>
      <w:pPr>
        <w:ind w:left="1500" w:hanging="360"/>
      </w:pPr>
      <w:rPr>
        <w:rFonts w:ascii="Symbol" w:hAnsi="Symbol" w:hint="default"/>
      </w:rPr>
    </w:lvl>
    <w:lvl w:ilvl="1" w:tplc="04150003" w:tentative="1">
      <w:start w:val="1"/>
      <w:numFmt w:val="bullet"/>
      <w:lvlText w:val="o"/>
      <w:lvlJc w:val="left"/>
      <w:pPr>
        <w:ind w:left="2220" w:hanging="360"/>
      </w:pPr>
      <w:rPr>
        <w:rFonts w:ascii="Courier New" w:hAnsi="Courier New" w:cs="Courier New" w:hint="default"/>
      </w:rPr>
    </w:lvl>
    <w:lvl w:ilvl="2" w:tplc="04150005" w:tentative="1">
      <w:start w:val="1"/>
      <w:numFmt w:val="bullet"/>
      <w:lvlText w:val=""/>
      <w:lvlJc w:val="left"/>
      <w:pPr>
        <w:ind w:left="2940" w:hanging="360"/>
      </w:pPr>
      <w:rPr>
        <w:rFonts w:ascii="Wingdings" w:hAnsi="Wingdings" w:hint="default"/>
      </w:rPr>
    </w:lvl>
    <w:lvl w:ilvl="3" w:tplc="04150001" w:tentative="1">
      <w:start w:val="1"/>
      <w:numFmt w:val="bullet"/>
      <w:lvlText w:val=""/>
      <w:lvlJc w:val="left"/>
      <w:pPr>
        <w:ind w:left="3660" w:hanging="360"/>
      </w:pPr>
      <w:rPr>
        <w:rFonts w:ascii="Symbol" w:hAnsi="Symbol" w:hint="default"/>
      </w:rPr>
    </w:lvl>
    <w:lvl w:ilvl="4" w:tplc="04150003" w:tentative="1">
      <w:start w:val="1"/>
      <w:numFmt w:val="bullet"/>
      <w:lvlText w:val="o"/>
      <w:lvlJc w:val="left"/>
      <w:pPr>
        <w:ind w:left="4380" w:hanging="360"/>
      </w:pPr>
      <w:rPr>
        <w:rFonts w:ascii="Courier New" w:hAnsi="Courier New" w:cs="Courier New" w:hint="default"/>
      </w:rPr>
    </w:lvl>
    <w:lvl w:ilvl="5" w:tplc="04150005" w:tentative="1">
      <w:start w:val="1"/>
      <w:numFmt w:val="bullet"/>
      <w:lvlText w:val=""/>
      <w:lvlJc w:val="left"/>
      <w:pPr>
        <w:ind w:left="5100" w:hanging="360"/>
      </w:pPr>
      <w:rPr>
        <w:rFonts w:ascii="Wingdings" w:hAnsi="Wingdings" w:hint="default"/>
      </w:rPr>
    </w:lvl>
    <w:lvl w:ilvl="6" w:tplc="04150001" w:tentative="1">
      <w:start w:val="1"/>
      <w:numFmt w:val="bullet"/>
      <w:lvlText w:val=""/>
      <w:lvlJc w:val="left"/>
      <w:pPr>
        <w:ind w:left="5820" w:hanging="360"/>
      </w:pPr>
      <w:rPr>
        <w:rFonts w:ascii="Symbol" w:hAnsi="Symbol" w:hint="default"/>
      </w:rPr>
    </w:lvl>
    <w:lvl w:ilvl="7" w:tplc="04150003" w:tentative="1">
      <w:start w:val="1"/>
      <w:numFmt w:val="bullet"/>
      <w:lvlText w:val="o"/>
      <w:lvlJc w:val="left"/>
      <w:pPr>
        <w:ind w:left="6540" w:hanging="360"/>
      </w:pPr>
      <w:rPr>
        <w:rFonts w:ascii="Courier New" w:hAnsi="Courier New" w:cs="Courier New" w:hint="default"/>
      </w:rPr>
    </w:lvl>
    <w:lvl w:ilvl="8" w:tplc="04150005" w:tentative="1">
      <w:start w:val="1"/>
      <w:numFmt w:val="bullet"/>
      <w:lvlText w:val=""/>
      <w:lvlJc w:val="left"/>
      <w:pPr>
        <w:ind w:left="7260" w:hanging="360"/>
      </w:pPr>
      <w:rPr>
        <w:rFonts w:ascii="Wingdings" w:hAnsi="Wingdings" w:hint="default"/>
      </w:rPr>
    </w:lvl>
  </w:abstractNum>
  <w:num w:numId="1" w16cid:durableId="885332117">
    <w:abstractNumId w:val="0"/>
  </w:num>
  <w:num w:numId="2" w16cid:durableId="249511731">
    <w:abstractNumId w:val="1"/>
  </w:num>
  <w:num w:numId="3" w16cid:durableId="40062329">
    <w:abstractNumId w:val="7"/>
  </w:num>
  <w:num w:numId="4" w16cid:durableId="2067758581">
    <w:abstractNumId w:val="6"/>
  </w:num>
  <w:num w:numId="5" w16cid:durableId="1725907869">
    <w:abstractNumId w:val="5"/>
  </w:num>
  <w:num w:numId="6" w16cid:durableId="135727448">
    <w:abstractNumId w:val="3"/>
  </w:num>
  <w:num w:numId="7" w16cid:durableId="518279455">
    <w:abstractNumId w:val="2"/>
  </w:num>
  <w:num w:numId="8" w16cid:durableId="10620016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774F"/>
    <w:rsid w:val="001C2BF4"/>
    <w:rsid w:val="003D774F"/>
    <w:rsid w:val="00441CC6"/>
    <w:rsid w:val="008854AB"/>
    <w:rsid w:val="008C2781"/>
    <w:rsid w:val="009D7D3D"/>
    <w:rsid w:val="00EE416D"/>
    <w:rsid w:val="00F9144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15E35D"/>
  <w15:chartTrackingRefBased/>
  <w15:docId w15:val="{5220DE90-D9A7-409D-A5F4-DFCB151D9C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D774F"/>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3D774F"/>
    <w:pPr>
      <w:ind w:left="720"/>
      <w:contextualSpacing/>
    </w:pPr>
  </w:style>
  <w:style w:type="paragraph" w:customStyle="1" w:styleId="Default">
    <w:name w:val="Default"/>
    <w:rsid w:val="003D774F"/>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1437</Words>
  <Characters>8622</Characters>
  <Application>Microsoft Office Word</Application>
  <DocSecurity>0</DocSecurity>
  <Lines>71</Lines>
  <Paragraphs>20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dfaruga</dc:creator>
  <cp:keywords/>
  <dc:description/>
  <cp:lastModifiedBy>rada</cp:lastModifiedBy>
  <cp:revision>5</cp:revision>
  <dcterms:created xsi:type="dcterms:W3CDTF">2025-05-05T22:28:00Z</dcterms:created>
  <dcterms:modified xsi:type="dcterms:W3CDTF">2025-05-07T05:41:00Z</dcterms:modified>
</cp:coreProperties>
</file>